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3124" w14:textId="570ADF1D" w:rsidR="006D6474" w:rsidRPr="006D6474" w:rsidRDefault="006D6474" w:rsidP="006D6474">
      <w:pPr>
        <w:widowControl/>
        <w:jc w:val="left"/>
        <w:rPr>
          <w:rFonts w:ascii="Times New Roman" w:hAnsi="Times New Roman" w:cs="Times New Roman"/>
          <w:color w:val="000033"/>
          <w:sz w:val="24"/>
          <w:shd w:val="clear" w:color="auto" w:fill="FFFFFF"/>
        </w:rPr>
      </w:pPr>
      <w:bookmarkStart w:id="0" w:name="OLE_LINK1"/>
      <w:r w:rsidRPr="006D6474">
        <w:rPr>
          <w:rFonts w:ascii="Times New Roman" w:hAnsi="Times New Roman" w:cs="Times New Roman"/>
          <w:color w:val="000033"/>
          <w:sz w:val="24"/>
          <w:shd w:val="clear" w:color="auto" w:fill="FFFFFF"/>
        </w:rPr>
        <w:t xml:space="preserve">Dear </w:t>
      </w:r>
      <w:r>
        <w:rPr>
          <w:rFonts w:ascii="Times New Roman" w:hAnsi="Times New Roman" w:cs="Times New Roman"/>
          <w:color w:val="212121"/>
          <w:sz w:val="22"/>
          <w:szCs w:val="22"/>
        </w:rPr>
        <w:t>Gang Kou, PhD</w:t>
      </w:r>
      <w:r w:rsidRPr="006D6474">
        <w:rPr>
          <w:rFonts w:ascii="Times New Roman" w:hAnsi="Times New Roman" w:cs="Times New Roman"/>
          <w:color w:val="000033"/>
          <w:sz w:val="24"/>
          <w:shd w:val="clear" w:color="auto" w:fill="FFFFFF"/>
        </w:rPr>
        <w:t>,</w:t>
      </w:r>
    </w:p>
    <w:p w14:paraId="23650028" w14:textId="77777777" w:rsidR="006D6474" w:rsidRPr="006D6474" w:rsidRDefault="006D6474" w:rsidP="006D6474">
      <w:pPr>
        <w:widowControl/>
        <w:jc w:val="left"/>
        <w:rPr>
          <w:rFonts w:ascii="Times New Roman" w:hAnsi="Times New Roman" w:cs="Times New Roman"/>
          <w:color w:val="000033"/>
          <w:sz w:val="24"/>
          <w:shd w:val="clear" w:color="auto" w:fill="FFFFFF"/>
        </w:rPr>
      </w:pPr>
    </w:p>
    <w:p w14:paraId="395EC3FB" w14:textId="77777777" w:rsidR="00610275" w:rsidRPr="00610275" w:rsidRDefault="00610275" w:rsidP="00610275">
      <w:pPr>
        <w:widowControl/>
        <w:jc w:val="left"/>
        <w:rPr>
          <w:rFonts w:ascii="Times New Roman" w:hAnsi="Times New Roman" w:cs="Times New Roman"/>
          <w:color w:val="000033"/>
          <w:sz w:val="24"/>
          <w:shd w:val="clear" w:color="auto" w:fill="FFFFFF"/>
        </w:rPr>
      </w:pPr>
      <w:r w:rsidRPr="00610275">
        <w:rPr>
          <w:rFonts w:ascii="Times New Roman" w:hAnsi="Times New Roman" w:cs="Times New Roman"/>
          <w:color w:val="000033"/>
          <w:sz w:val="24"/>
          <w:shd w:val="clear" w:color="auto" w:fill="FFFFFF"/>
        </w:rPr>
        <w:t>We would like to thank you once again for the opportunity to revise and resubmit our manuscript, “Why Are Global P2P Lending Platforms Transforming Their Business Models? A Comparative Analysis of Risks and Regulations” (Manuscript ID: FINI-D-25-00592). We are grateful to the reviewers for their thoughtful and constructive comments during this second round of review.</w:t>
      </w:r>
    </w:p>
    <w:p w14:paraId="0391567E" w14:textId="77777777" w:rsidR="00610275" w:rsidRPr="00610275" w:rsidRDefault="00610275" w:rsidP="00610275">
      <w:pPr>
        <w:widowControl/>
        <w:jc w:val="left"/>
        <w:rPr>
          <w:rFonts w:ascii="Times New Roman" w:hAnsi="Times New Roman" w:cs="Times New Roman"/>
          <w:color w:val="000033"/>
          <w:sz w:val="24"/>
          <w:shd w:val="clear" w:color="auto" w:fill="FFFFFF"/>
        </w:rPr>
      </w:pPr>
    </w:p>
    <w:p w14:paraId="79AFDF3C" w14:textId="77777777" w:rsidR="00610275" w:rsidRPr="00610275" w:rsidRDefault="00610275" w:rsidP="00610275">
      <w:pPr>
        <w:widowControl/>
        <w:jc w:val="left"/>
        <w:rPr>
          <w:rFonts w:ascii="Times New Roman" w:hAnsi="Times New Roman" w:cs="Times New Roman"/>
          <w:color w:val="000033"/>
          <w:sz w:val="24"/>
          <w:shd w:val="clear" w:color="auto" w:fill="FFFFFF"/>
        </w:rPr>
      </w:pPr>
      <w:r w:rsidRPr="00610275">
        <w:rPr>
          <w:rFonts w:ascii="Times New Roman" w:hAnsi="Times New Roman" w:cs="Times New Roman"/>
          <w:color w:val="000033"/>
          <w:sz w:val="24"/>
          <w:shd w:val="clear" w:color="auto" w:fill="FFFFFF"/>
        </w:rPr>
        <w:t>In this revision, we have carefully considered each of the new comments provided and made further improvements to the manuscript accordingly. Specifically, we have enhanced the clarity of our comparative framework, added a new subsection to synthesize platform-level divergences under similar regulatory conditions, and provided additional clarification on case selection, representativeness, and methodological scope. These changes build on the foundation established in the first revision and we believe they have improved the manuscript’s coherence, analytical depth, and scholarly contribution.</w:t>
      </w:r>
    </w:p>
    <w:p w14:paraId="6B13FB3A" w14:textId="77777777" w:rsidR="00610275" w:rsidRPr="00610275" w:rsidRDefault="00610275" w:rsidP="00610275">
      <w:pPr>
        <w:widowControl/>
        <w:jc w:val="left"/>
        <w:rPr>
          <w:rFonts w:ascii="Times New Roman" w:hAnsi="Times New Roman" w:cs="Times New Roman"/>
          <w:color w:val="000033"/>
          <w:sz w:val="24"/>
          <w:shd w:val="clear" w:color="auto" w:fill="FFFFFF"/>
        </w:rPr>
      </w:pPr>
    </w:p>
    <w:p w14:paraId="7899D8A0" w14:textId="77777777" w:rsidR="00610275" w:rsidRPr="00610275" w:rsidRDefault="00610275" w:rsidP="00610275">
      <w:pPr>
        <w:widowControl/>
        <w:jc w:val="left"/>
        <w:rPr>
          <w:rFonts w:ascii="Times New Roman" w:hAnsi="Times New Roman" w:cs="Times New Roman"/>
          <w:color w:val="000033"/>
          <w:sz w:val="24"/>
          <w:shd w:val="clear" w:color="auto" w:fill="FFFFFF"/>
        </w:rPr>
      </w:pPr>
      <w:r w:rsidRPr="00610275">
        <w:rPr>
          <w:rFonts w:ascii="Times New Roman" w:hAnsi="Times New Roman" w:cs="Times New Roman"/>
          <w:color w:val="000033"/>
          <w:sz w:val="24"/>
          <w:shd w:val="clear" w:color="auto" w:fill="FFFFFF"/>
        </w:rPr>
        <w:t>We have detailed our responses to each reviewer comment in the following point-by-point reply. We hope that the revised manuscript now meets the standards and expectations of the journal, and we remain at your disposal should any further clarifications be required.</w:t>
      </w:r>
    </w:p>
    <w:p w14:paraId="41187C5E" w14:textId="77777777" w:rsidR="00610275" w:rsidRPr="00610275" w:rsidRDefault="00610275" w:rsidP="00610275">
      <w:pPr>
        <w:widowControl/>
        <w:jc w:val="left"/>
        <w:rPr>
          <w:rFonts w:ascii="Times New Roman" w:hAnsi="Times New Roman" w:cs="Times New Roman"/>
          <w:color w:val="000033"/>
          <w:sz w:val="24"/>
          <w:shd w:val="clear" w:color="auto" w:fill="FFFFFF"/>
        </w:rPr>
      </w:pPr>
    </w:p>
    <w:p w14:paraId="1B5F9CF6" w14:textId="636800EE" w:rsidR="006D6474" w:rsidRDefault="00610275" w:rsidP="00610275">
      <w:pPr>
        <w:widowControl/>
        <w:jc w:val="left"/>
        <w:rPr>
          <w:rFonts w:ascii="Times New Roman" w:hAnsi="Times New Roman" w:cs="Times New Roman"/>
          <w:color w:val="000033"/>
          <w:sz w:val="24"/>
          <w:shd w:val="clear" w:color="auto" w:fill="FFFFFF"/>
        </w:rPr>
      </w:pPr>
      <w:r w:rsidRPr="00610275">
        <w:rPr>
          <w:rFonts w:ascii="Times New Roman" w:hAnsi="Times New Roman" w:cs="Times New Roman"/>
          <w:color w:val="000033"/>
          <w:sz w:val="24"/>
          <w:shd w:val="clear" w:color="auto" w:fill="FFFFFF"/>
        </w:rPr>
        <w:t>Thank you again for your consideration.</w:t>
      </w:r>
    </w:p>
    <w:p w14:paraId="0A33599B" w14:textId="77777777" w:rsidR="00610275" w:rsidRPr="00610275" w:rsidRDefault="00610275" w:rsidP="00610275">
      <w:pPr>
        <w:widowControl/>
        <w:jc w:val="left"/>
        <w:rPr>
          <w:rFonts w:ascii="Times New Roman" w:hAnsi="Times New Roman" w:cs="Times New Roman"/>
          <w:color w:val="000033"/>
          <w:sz w:val="24"/>
          <w:shd w:val="clear" w:color="auto" w:fill="FFFFFF"/>
        </w:rPr>
      </w:pPr>
    </w:p>
    <w:p w14:paraId="3E1547C8" w14:textId="77777777" w:rsidR="006D6474"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Sincerely,</w:t>
      </w:r>
    </w:p>
    <w:p w14:paraId="516FA942" w14:textId="28578C99" w:rsidR="006D6474" w:rsidRPr="006D6474" w:rsidRDefault="006D6474" w:rsidP="006D6474">
      <w:pPr>
        <w:widowControl/>
        <w:jc w:val="left"/>
        <w:rPr>
          <w:rFonts w:ascii="Times New Roman" w:hAnsi="Times New Roman" w:cs="Times New Roman"/>
          <w:color w:val="000033"/>
          <w:sz w:val="24"/>
          <w:shd w:val="clear" w:color="auto" w:fill="FFFFFF"/>
        </w:rPr>
      </w:pPr>
      <w:r>
        <w:rPr>
          <w:rFonts w:ascii="Times New Roman" w:hAnsi="Times New Roman" w:cs="Times New Roman"/>
          <w:color w:val="000033"/>
          <w:sz w:val="24"/>
          <w:shd w:val="clear" w:color="auto" w:fill="FFFFFF"/>
        </w:rPr>
        <w:t>Yiting Liu</w:t>
      </w:r>
    </w:p>
    <w:p w14:paraId="7285E9D2" w14:textId="43BD2E81" w:rsidR="00CB565C"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(On behalf of all co-authors)</w:t>
      </w:r>
    </w:p>
    <w:p w14:paraId="3390B8E6" w14:textId="77777777" w:rsidR="00CB565C" w:rsidRDefault="00CB565C">
      <w:pPr>
        <w:widowControl/>
        <w:jc w:val="left"/>
        <w:rPr>
          <w:rFonts w:ascii="Times New Roman" w:hAnsi="Times New Roman" w:cs="Times New Roman"/>
          <w:color w:val="000033"/>
          <w:sz w:val="24"/>
          <w:shd w:val="clear" w:color="auto" w:fill="FFFFFF"/>
        </w:rPr>
      </w:pPr>
    </w:p>
    <w:p w14:paraId="1EB96EA2" w14:textId="77777777" w:rsidR="00CB565C" w:rsidRDefault="00CB565C">
      <w:pPr>
        <w:widowControl/>
        <w:jc w:val="left"/>
        <w:rPr>
          <w:rFonts w:ascii="Times New Roman" w:hAnsi="Times New Roman" w:cs="Times New Roman"/>
          <w:color w:val="000033"/>
          <w:sz w:val="24"/>
          <w:shd w:val="clear" w:color="auto" w:fill="FFFFFF"/>
        </w:rPr>
      </w:pPr>
    </w:p>
    <w:p w14:paraId="0CDBF368" w14:textId="77777777" w:rsidR="00CB565C" w:rsidRDefault="00CB565C">
      <w:pPr>
        <w:widowControl/>
        <w:jc w:val="left"/>
        <w:rPr>
          <w:rFonts w:ascii="Times New Roman" w:hAnsi="Times New Roman" w:cs="Times New Roman"/>
          <w:color w:val="000033"/>
          <w:sz w:val="24"/>
          <w:shd w:val="clear" w:color="auto" w:fill="FFFFFF"/>
        </w:rPr>
      </w:pPr>
    </w:p>
    <w:p w14:paraId="2C28BF3E" w14:textId="0B2412F2" w:rsidR="005921F3" w:rsidRDefault="005921F3">
      <w:pPr>
        <w:widowControl/>
        <w:jc w:val="left"/>
        <w:rPr>
          <w:rFonts w:ascii="Times New Roman" w:hAnsi="Times New Roman" w:cs="Times New Roman"/>
          <w:color w:val="000033"/>
          <w:sz w:val="24"/>
          <w:shd w:val="clear" w:color="auto" w:fill="FFFFFF"/>
        </w:rPr>
      </w:pPr>
      <w:r>
        <w:rPr>
          <w:rFonts w:ascii="Times New Roman" w:hAnsi="Times New Roman" w:cs="Times New Roman"/>
          <w:color w:val="000033"/>
          <w:sz w:val="24"/>
          <w:shd w:val="clear" w:color="auto" w:fill="FFFFFF"/>
        </w:rPr>
        <w:br w:type="page"/>
      </w:r>
    </w:p>
    <w:p w14:paraId="238CFC28" w14:textId="77777777" w:rsidR="004E3A99"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lastRenderedPageBreak/>
        <w:t xml:space="preserve">Reviewer #1: </w:t>
      </w:r>
    </w:p>
    <w:p w14:paraId="77619EB9" w14:textId="34225112"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1. Topic Selection &amp; Innovation</w:t>
      </w:r>
    </w:p>
    <w:p w14:paraId="771323E7"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Issue: While the topic (P2P lending evolution) is relevant, the introduction lacks a clear gap statement or novel theoretical/practical contribution (Lines 1-16).</w:t>
      </w:r>
    </w:p>
    <w:p w14:paraId="34554922"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Explicitly state how this study advances existing knowledge (e.g., "Despite prior research on P2P growth, few studies address post-2010 regulatory impacts on platform risk").</w:t>
      </w:r>
    </w:p>
    <w:p w14:paraId="3B9FBD49" w14:textId="77777777" w:rsidR="004E3A99" w:rsidRDefault="004E3A99" w:rsidP="00187970">
      <w:pPr>
        <w:rPr>
          <w:rFonts w:ascii="Times New Roman" w:hAnsi="Times New Roman" w:cs="Times New Roman"/>
          <w:color w:val="000033"/>
          <w:sz w:val="24"/>
        </w:rPr>
      </w:pPr>
    </w:p>
    <w:p w14:paraId="3D281CAA" w14:textId="44F2E936" w:rsidR="004E3A99" w:rsidRPr="004E3A99" w:rsidRDefault="004E3A99" w:rsidP="00187970">
      <w:pPr>
        <w:rPr>
          <w:rFonts w:ascii="Times New Roman" w:hAnsi="Times New Roman" w:cs="Times New Roman"/>
          <w:color w:val="205E9A"/>
          <w:sz w:val="24"/>
        </w:rPr>
      </w:pPr>
      <w:r w:rsidRPr="004E3A99">
        <w:rPr>
          <w:rFonts w:ascii="Times New Roman" w:hAnsi="Times New Roman" w:cs="Times New Roman"/>
          <w:color w:val="205E9A"/>
          <w:sz w:val="24"/>
        </w:rPr>
        <w:t xml:space="preserve">We thank the reviewer for raising this point about the positioning of the contribution. In response to the first-round feedback, we made substantial revisions to the introduction section (specifically Lines 13–27 of the revised manuscript), where we now explicitly articulate the research gap and clarify the paper’s contribution. </w:t>
      </w:r>
      <w:proofErr w:type="gramStart"/>
      <w:r w:rsidRPr="004E3A99">
        <w:rPr>
          <w:rFonts w:ascii="Times New Roman" w:hAnsi="Times New Roman" w:cs="Times New Roman"/>
          <w:color w:val="205E9A"/>
          <w:sz w:val="24"/>
        </w:rPr>
        <w:t>In particular, we</w:t>
      </w:r>
      <w:proofErr w:type="gramEnd"/>
      <w:r w:rsidRPr="004E3A99">
        <w:rPr>
          <w:rFonts w:ascii="Times New Roman" w:hAnsi="Times New Roman" w:cs="Times New Roman"/>
          <w:color w:val="205E9A"/>
          <w:sz w:val="24"/>
        </w:rPr>
        <w:t xml:space="preserve"> added the following sentence: “However, despite the wealth of literature on P2P lending’s emergence, few studies have systematically compared platform retreat strategies in light of evolving regulatory and risk conditions.” This sentence directly reflects the reviewer’s suggested framing and underlines the novelty of our comparative approach to post-2010 platform transitions. We also emphasized the underexplored link between internal risk structures and regulatory adaptations, thereby aligning our contribution with both practical and theoretical relevance. These revisions aim to ensure that readers understand not only the importance of the topic, but also the specific value this study adds to the existing body of knowledge.</w:t>
      </w:r>
    </w:p>
    <w:p w14:paraId="46E36CB3" w14:textId="77777777" w:rsidR="00187970" w:rsidRDefault="00187970" w:rsidP="00187970">
      <w:pPr>
        <w:rPr>
          <w:rFonts w:ascii="Times New Roman" w:hAnsi="Times New Roman" w:cs="Times New Roman"/>
          <w:color w:val="215E99"/>
          <w:sz w:val="24"/>
          <w:shd w:val="clear" w:color="auto" w:fill="FFFFFF"/>
        </w:rPr>
      </w:pPr>
    </w:p>
    <w:p w14:paraId="2DD96B34" w14:textId="77777777" w:rsidR="004E3A99" w:rsidRPr="00187970" w:rsidRDefault="004E3A99" w:rsidP="00187970">
      <w:pPr>
        <w:rPr>
          <w:rFonts w:ascii="Times New Roman" w:hAnsi="Times New Roman" w:cs="Times New Roman" w:hint="eastAsia"/>
          <w:color w:val="000033"/>
          <w:sz w:val="24"/>
        </w:rPr>
      </w:pPr>
    </w:p>
    <w:p w14:paraId="1DCDF695"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2. Literature Review</w:t>
      </w:r>
    </w:p>
    <w:p w14:paraId="017966A8"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Issue: Citations (e.g., Freedman &amp; Jin, 2017; Huang, 2018) are scattered without synthesis or critical analysis (Lines 9-22).</w:t>
      </w:r>
    </w:p>
    <w:p w14:paraId="2963FB2C"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Organize literature thematically (e.g., "Early Advantages" vs. "Regulatory Challenges") and highlight contradictions.</w:t>
      </w:r>
    </w:p>
    <w:p w14:paraId="561703C2" w14:textId="77777777" w:rsidR="004E3A99" w:rsidRDefault="004E3A99" w:rsidP="00187970">
      <w:pPr>
        <w:rPr>
          <w:rFonts w:ascii="Times New Roman" w:hAnsi="Times New Roman" w:cs="Times New Roman"/>
          <w:color w:val="000033"/>
          <w:sz w:val="24"/>
        </w:rPr>
      </w:pPr>
    </w:p>
    <w:p w14:paraId="057022EB" w14:textId="280B7A81" w:rsidR="004E3A99" w:rsidRPr="00130331" w:rsidRDefault="004E3A99" w:rsidP="00187970">
      <w:pPr>
        <w:rPr>
          <w:rFonts w:ascii="Times New Roman" w:hAnsi="Times New Roman" w:cs="Times New Roman" w:hint="eastAsia"/>
          <w:color w:val="205E9A"/>
          <w:sz w:val="24"/>
        </w:rPr>
      </w:pPr>
      <w:r w:rsidRPr="00130331">
        <w:rPr>
          <w:rFonts w:ascii="Times New Roman" w:hAnsi="Times New Roman" w:cs="Times New Roman"/>
          <w:color w:val="205E9A"/>
          <w:sz w:val="24"/>
        </w:rPr>
        <w:t>We fully agree with the importance of presenting a well-organized and critically engaged literature review. In the first-round revision, we undertook a comprehensive restructuring of the literature review section to address this issue. We introduced a clearer thematic division within Section 2, particularly through subsections 2.2 (“The economic logic of platform-based financial intermediation”) and 2.3 (“Systemic vulnerabilities of platform-based lending”). The literature is now organized around two overarching themes: the initial economic promises of P2P intermediation, and the growing recognition of systemic risks. This structure facilitates synthesis and enables us to draw out points of convergence and divergence in the literature. For instance, we contrast early optimistic perspectives (e.g., disintermediation, financial inclusion) with more recent critiques concerning governance fragility, risk opacity, and contagion pathways. Furthermore, we have expanded our references to include recent contributions (e.g., Bone-Winkel &amp; Reichenbach, 2024; Ben-Yashar &amp; Krausz, 2024), thereby ensuring that the literature review not only covers foundational studies but also reflects the most up-to-date academic discourse.</w:t>
      </w:r>
    </w:p>
    <w:p w14:paraId="7BA78D0A" w14:textId="77777777" w:rsidR="00187970" w:rsidRDefault="00187970" w:rsidP="00187970">
      <w:pPr>
        <w:rPr>
          <w:rFonts w:ascii="Times New Roman" w:hAnsi="Times New Roman" w:cs="Times New Roman"/>
          <w:color w:val="000033"/>
          <w:sz w:val="24"/>
        </w:rPr>
      </w:pPr>
    </w:p>
    <w:p w14:paraId="0A81E3CE" w14:textId="77777777" w:rsidR="004E3A99" w:rsidRPr="00187970" w:rsidRDefault="004E3A99" w:rsidP="00187970">
      <w:pPr>
        <w:rPr>
          <w:rFonts w:ascii="Times New Roman" w:hAnsi="Times New Roman" w:cs="Times New Roman" w:hint="eastAsia"/>
          <w:color w:val="000033"/>
          <w:sz w:val="24"/>
        </w:rPr>
      </w:pPr>
    </w:p>
    <w:p w14:paraId="65DABDF7"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3. Research Methods</w:t>
      </w:r>
    </w:p>
    <w:p w14:paraId="13B6A298"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Issue: Absent in the excerpt. The text describes historical trends but does not clarify methodology (e.g., case studies, data sources).</w:t>
      </w:r>
    </w:p>
    <w:p w14:paraId="60887057"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Add a "Methods" section detailing analytical frameworks (e.g., comparative analysis of Zopa/</w:t>
      </w:r>
      <w:proofErr w:type="spellStart"/>
      <w:r w:rsidRPr="00187970">
        <w:rPr>
          <w:rFonts w:ascii="Times New Roman" w:hAnsi="Times New Roman" w:cs="Times New Roman"/>
          <w:color w:val="000033"/>
          <w:sz w:val="24"/>
        </w:rPr>
        <w:t>LendingClub</w:t>
      </w:r>
      <w:proofErr w:type="spellEnd"/>
      <w:r w:rsidRPr="00187970">
        <w:rPr>
          <w:rFonts w:ascii="Times New Roman" w:hAnsi="Times New Roman" w:cs="Times New Roman"/>
          <w:color w:val="000033"/>
          <w:sz w:val="24"/>
        </w:rPr>
        <w:t>) or data collection (e.g., platform filings).</w:t>
      </w:r>
    </w:p>
    <w:p w14:paraId="6D4AB29D" w14:textId="77777777" w:rsidR="00187970" w:rsidRDefault="00187970" w:rsidP="00187970">
      <w:pPr>
        <w:rPr>
          <w:rFonts w:ascii="Times New Roman" w:hAnsi="Times New Roman" w:cs="Times New Roman"/>
          <w:color w:val="000033"/>
          <w:sz w:val="24"/>
        </w:rPr>
      </w:pPr>
    </w:p>
    <w:p w14:paraId="53D782ED" w14:textId="142448E4" w:rsidR="004E3A99" w:rsidRPr="00130331" w:rsidRDefault="00853387" w:rsidP="00187970">
      <w:pPr>
        <w:rPr>
          <w:rFonts w:ascii="Times New Roman" w:hAnsi="Times New Roman" w:cs="Times New Roman"/>
          <w:color w:val="205E9A"/>
          <w:sz w:val="24"/>
        </w:rPr>
      </w:pPr>
      <w:r w:rsidRPr="00130331">
        <w:rPr>
          <w:rFonts w:ascii="Times New Roman" w:hAnsi="Times New Roman" w:cs="Times New Roman"/>
          <w:color w:val="205E9A"/>
          <w:sz w:val="24"/>
        </w:rPr>
        <w:t xml:space="preserve">We appreciate the need for methodological transparency and clarity. In the revised manuscript, we addressed this issue by adding a dedicated subsection titled “3.1 Methodology and case selection”, which outlines the study’s analytical framework and justifies our comparative case study approach. In this section, we describe the rationale for selecting a diverse sample of eight platforms (including </w:t>
      </w:r>
      <w:proofErr w:type="spellStart"/>
      <w:r w:rsidRPr="00130331">
        <w:rPr>
          <w:rFonts w:ascii="Times New Roman" w:hAnsi="Times New Roman" w:cs="Times New Roman"/>
          <w:color w:val="205E9A"/>
          <w:sz w:val="24"/>
        </w:rPr>
        <w:t>LendingClub</w:t>
      </w:r>
      <w:proofErr w:type="spellEnd"/>
      <w:r w:rsidRPr="00130331">
        <w:rPr>
          <w:rFonts w:ascii="Times New Roman" w:hAnsi="Times New Roman" w:cs="Times New Roman"/>
          <w:color w:val="205E9A"/>
          <w:sz w:val="24"/>
        </w:rPr>
        <w:t xml:space="preserve">, Prosper, Zopa, Funding Circle, </w:t>
      </w:r>
      <w:proofErr w:type="spellStart"/>
      <w:r w:rsidRPr="00130331">
        <w:rPr>
          <w:rFonts w:ascii="Times New Roman" w:hAnsi="Times New Roman" w:cs="Times New Roman"/>
          <w:color w:val="205E9A"/>
          <w:sz w:val="24"/>
        </w:rPr>
        <w:t>Yiren</w:t>
      </w:r>
      <w:proofErr w:type="spellEnd"/>
      <w:r w:rsidRPr="00130331">
        <w:rPr>
          <w:rFonts w:ascii="Times New Roman" w:hAnsi="Times New Roman" w:cs="Times New Roman"/>
          <w:color w:val="205E9A"/>
          <w:sz w:val="24"/>
        </w:rPr>
        <w:t xml:space="preserve"> Digital, Mintos, </w:t>
      </w:r>
      <w:proofErr w:type="spellStart"/>
      <w:r w:rsidRPr="00130331">
        <w:rPr>
          <w:rFonts w:ascii="Times New Roman" w:hAnsi="Times New Roman" w:cs="Times New Roman"/>
          <w:color w:val="205E9A"/>
          <w:sz w:val="24"/>
        </w:rPr>
        <w:t>Bondora</w:t>
      </w:r>
      <w:proofErr w:type="spellEnd"/>
      <w:r w:rsidRPr="00130331">
        <w:rPr>
          <w:rFonts w:ascii="Times New Roman" w:hAnsi="Times New Roman" w:cs="Times New Roman"/>
          <w:color w:val="205E9A"/>
          <w:sz w:val="24"/>
        </w:rPr>
        <w:t xml:space="preserve">, and </w:t>
      </w:r>
      <w:proofErr w:type="spellStart"/>
      <w:r w:rsidRPr="00130331">
        <w:rPr>
          <w:rFonts w:ascii="Times New Roman" w:hAnsi="Times New Roman" w:cs="Times New Roman"/>
          <w:color w:val="205E9A"/>
          <w:sz w:val="24"/>
        </w:rPr>
        <w:t>Faircent</w:t>
      </w:r>
      <w:proofErr w:type="spellEnd"/>
      <w:r w:rsidRPr="00130331">
        <w:rPr>
          <w:rFonts w:ascii="Times New Roman" w:hAnsi="Times New Roman" w:cs="Times New Roman"/>
          <w:color w:val="205E9A"/>
          <w:sz w:val="24"/>
        </w:rPr>
        <w:t>), each of which represents distinct market environments, governance models, and regulatory exposures. We also explain the use of multiple qualitative and documentary sources—such as investor reports, regulatory filings, and prior academic studies—as the empirical basis for platform-level comparison. This section provides a clear foundation for the reader to understand how our analysis proceeds and how case-specific insights were derived. We believe this addition directly responds to the reviewer’s concern and brings much-needed structure to the empirical sections of the paper.</w:t>
      </w:r>
    </w:p>
    <w:p w14:paraId="16F64168" w14:textId="77777777" w:rsidR="004E3A99" w:rsidRDefault="004E3A99" w:rsidP="00187970">
      <w:pPr>
        <w:rPr>
          <w:rFonts w:ascii="Times New Roman" w:hAnsi="Times New Roman" w:cs="Times New Roman"/>
          <w:color w:val="000033"/>
          <w:sz w:val="24"/>
        </w:rPr>
      </w:pPr>
    </w:p>
    <w:p w14:paraId="7B3BA723" w14:textId="77777777" w:rsidR="004E3A99" w:rsidRPr="00187970" w:rsidRDefault="004E3A99" w:rsidP="00187970">
      <w:pPr>
        <w:rPr>
          <w:rFonts w:ascii="Times New Roman" w:hAnsi="Times New Roman" w:cs="Times New Roman" w:hint="eastAsia"/>
          <w:color w:val="000033"/>
          <w:sz w:val="24"/>
        </w:rPr>
      </w:pPr>
    </w:p>
    <w:p w14:paraId="65B31849"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4. Results &amp; Discussion</w:t>
      </w:r>
    </w:p>
    <w:p w14:paraId="22B78DE6"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Issue: Claims (e.g., "profound contraction") lack empirical support (Lines 25-28).</w:t>
      </w:r>
    </w:p>
    <w:p w14:paraId="76CB812D"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Provide statistics (e.g., "Platform closures rose by X% post-2018") and link findings to FinTech evolution theories.</w:t>
      </w:r>
    </w:p>
    <w:p w14:paraId="1394A7D2" w14:textId="77777777" w:rsidR="00130331" w:rsidRDefault="00130331" w:rsidP="00187970">
      <w:pPr>
        <w:rPr>
          <w:rFonts w:ascii="Times New Roman" w:hAnsi="Times New Roman" w:cs="Times New Roman"/>
          <w:color w:val="000033"/>
          <w:sz w:val="24"/>
        </w:rPr>
      </w:pPr>
    </w:p>
    <w:p w14:paraId="422F3CA4" w14:textId="4A41EE1E" w:rsidR="00130331" w:rsidRDefault="00130331" w:rsidP="00187970">
      <w:pPr>
        <w:rPr>
          <w:rFonts w:ascii="Times New Roman" w:hAnsi="Times New Roman" w:cs="Times New Roman"/>
          <w:color w:val="205E9A"/>
          <w:sz w:val="24"/>
        </w:rPr>
      </w:pPr>
      <w:r w:rsidRPr="00130331">
        <w:rPr>
          <w:rFonts w:ascii="Times New Roman" w:hAnsi="Times New Roman" w:cs="Times New Roman"/>
          <w:color w:val="205E9A"/>
          <w:sz w:val="24"/>
        </w:rPr>
        <w:t xml:space="preserve">We recognize the importance of supporting claims with specific data. In the revised manuscript, we enhanced the empirical grounding of our discussion by incorporating concrete evidence of platform transitions and exits, particularly in Section 4.2 (Platform-specific case analysis). For example, we cite Zopa’s complete termination of its P2P lending operations in 2021 and the subsequent pivot to digital banking, as well as </w:t>
      </w:r>
      <w:proofErr w:type="spellStart"/>
      <w:r w:rsidRPr="00130331">
        <w:rPr>
          <w:rFonts w:ascii="Times New Roman" w:hAnsi="Times New Roman" w:cs="Times New Roman"/>
          <w:color w:val="205E9A"/>
          <w:sz w:val="24"/>
        </w:rPr>
        <w:t>Yiren</w:t>
      </w:r>
      <w:proofErr w:type="spellEnd"/>
      <w:r w:rsidRPr="00130331">
        <w:rPr>
          <w:rFonts w:ascii="Times New Roman" w:hAnsi="Times New Roman" w:cs="Times New Roman"/>
          <w:color w:val="205E9A"/>
          <w:sz w:val="24"/>
        </w:rPr>
        <w:t xml:space="preserve"> Digital’s drastic decline in P2P activity to under 5% of loan volumes by 2022. Although quantitative time series are not uniformly available across platforms, we rely on multiple credible sources—including public disclosures, financial press, and policy reports—to offer triangulated evidence of contraction trends. These cases are embedded within a broader theoretical framing that draws on platform governance, regulatory arbitrage, and exit strategy literature. Hence, while the paper does not offer a single cross-platform metric (due to data constraints), the narrative remains empirically informed and theory-consistent.</w:t>
      </w:r>
    </w:p>
    <w:p w14:paraId="2A6B9B6E" w14:textId="77777777" w:rsidR="00130331" w:rsidRPr="00130331" w:rsidRDefault="00130331" w:rsidP="00187970">
      <w:pPr>
        <w:rPr>
          <w:rFonts w:ascii="Times New Roman" w:hAnsi="Times New Roman" w:cs="Times New Roman" w:hint="eastAsia"/>
          <w:color w:val="205E9A"/>
          <w:sz w:val="24"/>
        </w:rPr>
      </w:pPr>
    </w:p>
    <w:p w14:paraId="78278644" w14:textId="77777777" w:rsidR="00187970" w:rsidRPr="00187970" w:rsidRDefault="00187970" w:rsidP="00187970">
      <w:pPr>
        <w:rPr>
          <w:rFonts w:ascii="Times New Roman" w:hAnsi="Times New Roman" w:cs="Times New Roman"/>
          <w:color w:val="000033"/>
          <w:sz w:val="24"/>
        </w:rPr>
      </w:pPr>
    </w:p>
    <w:p w14:paraId="1F56E6B3"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5. Structure &amp; Clarity</w:t>
      </w:r>
    </w:p>
    <w:p w14:paraId="63DD2E94"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lastRenderedPageBreak/>
        <w:t>Issue: The truncated "Blinded Manuscript" labels disrupt flow (Lines 10-22).</w:t>
      </w:r>
    </w:p>
    <w:p w14:paraId="3750BD88"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Remove placeholder text and use subheadings (e.g., "1.1 Historical Growth") for coherence.</w:t>
      </w:r>
    </w:p>
    <w:p w14:paraId="70ACCC9B" w14:textId="77777777" w:rsidR="0010631D" w:rsidRDefault="0010631D" w:rsidP="00187970">
      <w:pPr>
        <w:rPr>
          <w:rFonts w:ascii="Times New Roman" w:hAnsi="Times New Roman" w:cs="Times New Roman"/>
          <w:color w:val="000033"/>
          <w:sz w:val="24"/>
        </w:rPr>
      </w:pPr>
    </w:p>
    <w:p w14:paraId="11C1244B" w14:textId="167CC514" w:rsidR="0010631D" w:rsidRPr="0010631D" w:rsidRDefault="0010631D" w:rsidP="00187970">
      <w:pPr>
        <w:rPr>
          <w:rFonts w:ascii="Times New Roman" w:hAnsi="Times New Roman" w:cs="Times New Roman"/>
          <w:color w:val="205E9A"/>
          <w:sz w:val="24"/>
        </w:rPr>
      </w:pPr>
      <w:r w:rsidRPr="0010631D">
        <w:rPr>
          <w:rFonts w:ascii="Times New Roman" w:hAnsi="Times New Roman" w:cs="Times New Roman"/>
          <w:color w:val="205E9A"/>
          <w:sz w:val="24"/>
        </w:rPr>
        <w:t>We acknowledge the disruption caused by residual anonymization artifacts in the earlier draft. As part of the first revision, we have removed all instances of placeholder text such as “Blinded Manuscript,” and have thoroughly proofread the paper for continuity and coherence. In addition, the paper has been restructured using meaningful subheadings that guide the reader through the argument. For instance, Section 4 is now organized into a general framing (4.1) followed by detailed case analysis (4.2) with clearly labeled subsections for each platform. This improved structure enhances the logical flow and enables readers to navigate the comparative insights more easily. These changes were made precisely to address the readability issues highlighted by the reviewer.</w:t>
      </w:r>
    </w:p>
    <w:p w14:paraId="678B3E28" w14:textId="77777777" w:rsidR="0010631D" w:rsidRPr="00187970" w:rsidRDefault="0010631D" w:rsidP="00187970">
      <w:pPr>
        <w:rPr>
          <w:rFonts w:ascii="Times New Roman" w:hAnsi="Times New Roman" w:cs="Times New Roman" w:hint="eastAsia"/>
          <w:color w:val="000033"/>
          <w:sz w:val="24"/>
        </w:rPr>
      </w:pPr>
    </w:p>
    <w:p w14:paraId="2F83D51C" w14:textId="77777777" w:rsidR="00187970" w:rsidRPr="00187970" w:rsidRDefault="00187970" w:rsidP="00187970">
      <w:pPr>
        <w:rPr>
          <w:rFonts w:ascii="Times New Roman" w:hAnsi="Times New Roman" w:cs="Times New Roman"/>
          <w:color w:val="000033"/>
          <w:sz w:val="24"/>
        </w:rPr>
      </w:pPr>
    </w:p>
    <w:p w14:paraId="6F9370AE"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6. Originality &amp; Ethics</w:t>
      </w:r>
    </w:p>
    <w:p w14:paraId="0656B76E"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Issue: No overt plagiarism, but overdependence on dated sources (e.g., </w:t>
      </w:r>
      <w:proofErr w:type="spellStart"/>
      <w:r w:rsidRPr="00187970">
        <w:rPr>
          <w:rFonts w:ascii="Times New Roman" w:hAnsi="Times New Roman" w:cs="Times New Roman"/>
          <w:color w:val="000033"/>
          <w:sz w:val="24"/>
        </w:rPr>
        <w:t>Klafft</w:t>
      </w:r>
      <w:proofErr w:type="spellEnd"/>
      <w:r w:rsidRPr="00187970">
        <w:rPr>
          <w:rFonts w:ascii="Times New Roman" w:hAnsi="Times New Roman" w:cs="Times New Roman"/>
          <w:color w:val="000033"/>
          <w:sz w:val="24"/>
        </w:rPr>
        <w:t>, 2008) risks redundancy.</w:t>
      </w:r>
    </w:p>
    <w:p w14:paraId="47C79FF2"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Cite recent studies (e.g., Bone-Winkel &amp; Reichenbach, 2024) to reflect current debates.</w:t>
      </w:r>
    </w:p>
    <w:p w14:paraId="195161E0" w14:textId="77777777" w:rsidR="00317887" w:rsidRDefault="00317887" w:rsidP="00187970">
      <w:pPr>
        <w:rPr>
          <w:rFonts w:ascii="Times New Roman" w:hAnsi="Times New Roman" w:cs="Times New Roman"/>
          <w:color w:val="000033"/>
          <w:sz w:val="24"/>
        </w:rPr>
      </w:pPr>
    </w:p>
    <w:p w14:paraId="30A71690" w14:textId="6BD1F3E2" w:rsidR="00317887" w:rsidRPr="00317887" w:rsidRDefault="00317887" w:rsidP="00187970">
      <w:pPr>
        <w:rPr>
          <w:rFonts w:ascii="Times New Roman" w:hAnsi="Times New Roman" w:cs="Times New Roman" w:hint="eastAsia"/>
          <w:color w:val="205E9A"/>
          <w:sz w:val="24"/>
        </w:rPr>
      </w:pPr>
      <w:r w:rsidRPr="00317887">
        <w:rPr>
          <w:rFonts w:ascii="Times New Roman" w:hAnsi="Times New Roman" w:cs="Times New Roman"/>
          <w:color w:val="205E9A"/>
          <w:sz w:val="24"/>
        </w:rPr>
        <w:t xml:space="preserve">We fully understand the concern regarding the balance between foundational and recent literature. In our revised version, we deliberately expanded the reference list to include a wide range of recent studies published in 2022–2024, including those by Georgiev (2024), Bone-Winkel &amp; Reichenbach (2024), and Ben-Yashar &amp; Krausz (2024). These additions reflect ongoing debates around platform regulation, post-crisis risk management, and evolving FinTech governance. At the same time, we retained seminal contributions such as </w:t>
      </w:r>
      <w:proofErr w:type="spellStart"/>
      <w:r w:rsidRPr="00317887">
        <w:rPr>
          <w:rFonts w:ascii="Times New Roman" w:hAnsi="Times New Roman" w:cs="Times New Roman"/>
          <w:color w:val="205E9A"/>
          <w:sz w:val="24"/>
        </w:rPr>
        <w:t>Klafft</w:t>
      </w:r>
      <w:proofErr w:type="spellEnd"/>
      <w:r w:rsidRPr="00317887">
        <w:rPr>
          <w:rFonts w:ascii="Times New Roman" w:hAnsi="Times New Roman" w:cs="Times New Roman"/>
          <w:color w:val="205E9A"/>
          <w:sz w:val="24"/>
        </w:rPr>
        <w:t xml:space="preserve"> (2008) to provide historical anchoring for the reader and to contextualize the regulatory and technological shifts over time. We believe this approach ensures that the paper remains historically grounded while also reflecting current scholarly developments.</w:t>
      </w:r>
    </w:p>
    <w:p w14:paraId="504FEE77" w14:textId="77777777" w:rsidR="00187970" w:rsidRDefault="00187970" w:rsidP="00187970">
      <w:pPr>
        <w:rPr>
          <w:rFonts w:ascii="Times New Roman" w:hAnsi="Times New Roman" w:cs="Times New Roman"/>
          <w:color w:val="000033"/>
          <w:sz w:val="24"/>
        </w:rPr>
      </w:pPr>
    </w:p>
    <w:p w14:paraId="03F06D75" w14:textId="77777777" w:rsidR="00317887" w:rsidRPr="00187970" w:rsidRDefault="00317887" w:rsidP="00187970">
      <w:pPr>
        <w:rPr>
          <w:rFonts w:ascii="Times New Roman" w:hAnsi="Times New Roman" w:cs="Times New Roman" w:hint="eastAsia"/>
          <w:color w:val="000033"/>
          <w:sz w:val="24"/>
        </w:rPr>
      </w:pPr>
    </w:p>
    <w:p w14:paraId="257C261F"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7. Formatting</w:t>
      </w:r>
    </w:p>
    <w:p w14:paraId="26CF3367"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Issue: Inconsistent numbering (e.g., "1 Introduction" vs. "Blinded Manuscript" lines) and abrupt citations (e.g., "(Morse, 2015)").</w:t>
      </w:r>
    </w:p>
    <w:p w14:paraId="75F3BC79"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Suggestion: Align with journal guidelines (APA/MLA) and proofread for numbering/citation consistency.</w:t>
      </w:r>
    </w:p>
    <w:p w14:paraId="4A367760" w14:textId="77777777" w:rsidR="00C86DBC" w:rsidRDefault="00C86DBC" w:rsidP="00187970">
      <w:pPr>
        <w:rPr>
          <w:rFonts w:ascii="Times New Roman" w:hAnsi="Times New Roman" w:cs="Times New Roman"/>
          <w:color w:val="000033"/>
          <w:sz w:val="24"/>
        </w:rPr>
      </w:pPr>
    </w:p>
    <w:p w14:paraId="402F34B3" w14:textId="66EEF28B" w:rsidR="00C86DBC" w:rsidRPr="00C86DBC" w:rsidRDefault="00C86DBC" w:rsidP="00187970">
      <w:pPr>
        <w:rPr>
          <w:rFonts w:ascii="Times New Roman" w:hAnsi="Times New Roman" w:cs="Times New Roman" w:hint="eastAsia"/>
          <w:color w:val="205E9A"/>
          <w:sz w:val="24"/>
        </w:rPr>
      </w:pPr>
      <w:r w:rsidRPr="00C86DBC">
        <w:rPr>
          <w:rFonts w:ascii="Times New Roman" w:hAnsi="Times New Roman" w:cs="Times New Roman"/>
          <w:color w:val="205E9A"/>
          <w:sz w:val="24"/>
        </w:rPr>
        <w:t xml:space="preserve">Thank you for this practical formatting suggestion. In the revised manuscript, we conducted a comprehensive formatting check to ensure alignment with the journal’s style guide. Numbering has been standardized across all sections and subsections. In-text citations have been harmonized according to APA formatting rules, and any </w:t>
      </w:r>
      <w:r w:rsidRPr="00C86DBC">
        <w:rPr>
          <w:rFonts w:ascii="Times New Roman" w:hAnsi="Times New Roman" w:cs="Times New Roman"/>
          <w:color w:val="205E9A"/>
          <w:sz w:val="24"/>
        </w:rPr>
        <w:lastRenderedPageBreak/>
        <w:t>inconsistencies in punctuation or ordering have been corrected. We also conducted a final proofread for citation completeness, reference alignment, and stylistic consistency throughout the paper. These efforts were made to ensure professional presentation and to meet the expectations of both reviewers and editors.</w:t>
      </w:r>
    </w:p>
    <w:p w14:paraId="229267CB" w14:textId="77777777" w:rsidR="00187970" w:rsidRDefault="00187970" w:rsidP="00187970">
      <w:pPr>
        <w:rPr>
          <w:rFonts w:ascii="Times New Roman" w:hAnsi="Times New Roman" w:cs="Times New Roman"/>
          <w:color w:val="000033"/>
          <w:sz w:val="24"/>
        </w:rPr>
      </w:pPr>
    </w:p>
    <w:p w14:paraId="0E2AA030" w14:textId="77777777" w:rsidR="00C86DBC" w:rsidRPr="00187970" w:rsidRDefault="00C86DBC" w:rsidP="00187970">
      <w:pPr>
        <w:rPr>
          <w:rFonts w:ascii="Times New Roman" w:hAnsi="Times New Roman" w:cs="Times New Roman" w:hint="eastAsia"/>
          <w:color w:val="000033"/>
          <w:sz w:val="24"/>
        </w:rPr>
      </w:pPr>
    </w:p>
    <w:p w14:paraId="65A4978F" w14:textId="77777777"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Key revisions: (1) Frame the study's novelty in the introduction; (2) Systematize literature under subthemes; (3) Add a methods section; (4) Support conclusions with data; (5) Clean up structure/formatting. These changes would elevate the paper's rigor and </w:t>
      </w:r>
      <w:proofErr w:type="spellStart"/>
      <w:r w:rsidRPr="00187970">
        <w:rPr>
          <w:rFonts w:ascii="Times New Roman" w:hAnsi="Times New Roman" w:cs="Times New Roman"/>
          <w:color w:val="000033"/>
          <w:sz w:val="24"/>
        </w:rPr>
        <w:t>publishability</w:t>
      </w:r>
      <w:proofErr w:type="spellEnd"/>
      <w:r w:rsidRPr="00187970">
        <w:rPr>
          <w:rFonts w:ascii="Times New Roman" w:hAnsi="Times New Roman" w:cs="Times New Roman"/>
          <w:color w:val="000033"/>
          <w:sz w:val="24"/>
        </w:rPr>
        <w:t>.</w:t>
      </w:r>
    </w:p>
    <w:p w14:paraId="7657275B" w14:textId="77777777" w:rsidR="00187970" w:rsidRPr="00187970" w:rsidRDefault="00187970" w:rsidP="00187970">
      <w:pPr>
        <w:rPr>
          <w:rFonts w:ascii="Times New Roman" w:hAnsi="Times New Roman" w:cs="Times New Roman"/>
          <w:color w:val="000033"/>
          <w:sz w:val="24"/>
        </w:rPr>
      </w:pPr>
    </w:p>
    <w:p w14:paraId="088DC92B" w14:textId="3606203B" w:rsidR="00187970" w:rsidRPr="00C86DBC" w:rsidRDefault="00C86DBC" w:rsidP="00187970">
      <w:pPr>
        <w:rPr>
          <w:rFonts w:ascii="Times New Roman" w:hAnsi="Times New Roman" w:cs="Times New Roman"/>
          <w:color w:val="205E9A"/>
          <w:sz w:val="24"/>
        </w:rPr>
      </w:pPr>
      <w:r w:rsidRPr="00C86DBC">
        <w:rPr>
          <w:rFonts w:ascii="Times New Roman" w:hAnsi="Times New Roman" w:cs="Times New Roman"/>
          <w:color w:val="205E9A"/>
          <w:sz w:val="24"/>
        </w:rPr>
        <w:t xml:space="preserve">We appreciate the reviewer’s summary of key areas for improvement and fully agree that attention to these aspects is essential for enhancing the paper’s academic rigor and </w:t>
      </w:r>
      <w:proofErr w:type="spellStart"/>
      <w:r w:rsidRPr="00C86DBC">
        <w:rPr>
          <w:rFonts w:ascii="Times New Roman" w:hAnsi="Times New Roman" w:cs="Times New Roman"/>
          <w:color w:val="205E9A"/>
          <w:sz w:val="24"/>
        </w:rPr>
        <w:t>publishability</w:t>
      </w:r>
      <w:proofErr w:type="spellEnd"/>
      <w:r w:rsidRPr="00C86DBC">
        <w:rPr>
          <w:rFonts w:ascii="Times New Roman" w:hAnsi="Times New Roman" w:cs="Times New Roman"/>
          <w:color w:val="205E9A"/>
          <w:sz w:val="24"/>
        </w:rPr>
        <w:t>. As outlined above, we have already implemented the recommended changes during the first revision round. Specifically, we have clarified the study’s novelty in the introduction, reorganized the literature review under clearly defined subthemes, added a dedicated methodology section to explain case selection and analytical approach, strengthened the empirical basis of our findings through platform-level data and narrative evidence, and improved the paper’s structure and formatting to ensure clarity and coherence. We believe these revisions have substantially enhanced the manuscript and hope they address the reviewer’s expectations.</w:t>
      </w:r>
    </w:p>
    <w:p w14:paraId="426B3AE2" w14:textId="77777777" w:rsidR="00187970" w:rsidRPr="00187970" w:rsidRDefault="00187970" w:rsidP="00187970">
      <w:pPr>
        <w:rPr>
          <w:rFonts w:ascii="Times New Roman" w:hAnsi="Times New Roman" w:cs="Times New Roman"/>
          <w:color w:val="000033"/>
          <w:sz w:val="24"/>
        </w:rPr>
      </w:pPr>
    </w:p>
    <w:p w14:paraId="26BEB5C9" w14:textId="77777777" w:rsidR="00187970" w:rsidRPr="00187970" w:rsidRDefault="00187970" w:rsidP="00187970">
      <w:pPr>
        <w:rPr>
          <w:rFonts w:ascii="Times New Roman" w:hAnsi="Times New Roman" w:cs="Times New Roman"/>
          <w:color w:val="000033"/>
          <w:sz w:val="24"/>
        </w:rPr>
      </w:pPr>
    </w:p>
    <w:p w14:paraId="1B2A3780" w14:textId="77777777" w:rsidR="00C86DBC" w:rsidRDefault="00C86DBC">
      <w:pPr>
        <w:widowControl/>
        <w:jc w:val="left"/>
        <w:rPr>
          <w:rFonts w:ascii="Times New Roman" w:hAnsi="Times New Roman" w:cs="Times New Roman"/>
          <w:color w:val="000033"/>
          <w:sz w:val="24"/>
        </w:rPr>
      </w:pPr>
      <w:r>
        <w:rPr>
          <w:rFonts w:ascii="Times New Roman" w:hAnsi="Times New Roman" w:cs="Times New Roman"/>
          <w:color w:val="000033"/>
          <w:sz w:val="24"/>
        </w:rPr>
        <w:br w:type="page"/>
      </w:r>
    </w:p>
    <w:p w14:paraId="63C5E239" w14:textId="77777777" w:rsidR="00AC502B"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lastRenderedPageBreak/>
        <w:t xml:space="preserve">Reviewer #2: </w:t>
      </w:r>
    </w:p>
    <w:p w14:paraId="7D50B702" w14:textId="3E0F15D8"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The author has already incorporated all the required changes</w:t>
      </w:r>
    </w:p>
    <w:p w14:paraId="2D47B7E4" w14:textId="77777777" w:rsidR="00AC502B" w:rsidRDefault="00AC502B" w:rsidP="00187970">
      <w:pPr>
        <w:rPr>
          <w:rFonts w:ascii="Times New Roman" w:hAnsi="Times New Roman" w:cs="Times New Roman"/>
          <w:color w:val="000033"/>
          <w:sz w:val="24"/>
        </w:rPr>
      </w:pPr>
    </w:p>
    <w:p w14:paraId="7D6D9E1A" w14:textId="16815088" w:rsidR="00AC502B" w:rsidRPr="00AC502B" w:rsidRDefault="00AC502B" w:rsidP="00187970">
      <w:pPr>
        <w:rPr>
          <w:rFonts w:ascii="Times New Roman" w:hAnsi="Times New Roman" w:cs="Times New Roman"/>
          <w:color w:val="205E9A"/>
          <w:sz w:val="24"/>
        </w:rPr>
      </w:pPr>
      <w:r w:rsidRPr="00AC502B">
        <w:rPr>
          <w:rFonts w:ascii="Times New Roman" w:hAnsi="Times New Roman" w:cs="Times New Roman"/>
          <w:color w:val="205E9A"/>
          <w:sz w:val="24"/>
        </w:rPr>
        <w:t>We sincerely thank Reviewer #2 for the positive and supportive assessment. We are grateful for the constructive comments provided during the first review round. In revising the manuscript, we carefully incorporated your suggestions, which we believe have significantly improved the clarity, coherence, and overall quality of the paper. We appreciate your engagement and are pleased that the revised version meets your expectations.</w:t>
      </w:r>
    </w:p>
    <w:p w14:paraId="3B65C36B" w14:textId="77777777" w:rsidR="00AC502B" w:rsidRDefault="00AC502B" w:rsidP="00187970">
      <w:pPr>
        <w:rPr>
          <w:rFonts w:ascii="Times New Roman" w:hAnsi="Times New Roman" w:cs="Times New Roman"/>
          <w:color w:val="000033"/>
          <w:sz w:val="24"/>
        </w:rPr>
      </w:pPr>
    </w:p>
    <w:p w14:paraId="7BC232CF" w14:textId="77777777" w:rsidR="00AC502B" w:rsidRPr="00187970" w:rsidRDefault="00AC502B" w:rsidP="00187970">
      <w:pPr>
        <w:rPr>
          <w:rFonts w:ascii="Times New Roman" w:hAnsi="Times New Roman" w:cs="Times New Roman" w:hint="eastAsia"/>
          <w:color w:val="000033"/>
          <w:sz w:val="24"/>
        </w:rPr>
      </w:pPr>
    </w:p>
    <w:p w14:paraId="1C89C383" w14:textId="77777777" w:rsidR="00187970" w:rsidRPr="00187970" w:rsidRDefault="00187970" w:rsidP="00187970">
      <w:pPr>
        <w:rPr>
          <w:rFonts w:ascii="Times New Roman" w:hAnsi="Times New Roman" w:cs="Times New Roman"/>
          <w:color w:val="000033"/>
          <w:sz w:val="24"/>
        </w:rPr>
      </w:pPr>
    </w:p>
    <w:p w14:paraId="6C1E2EC3" w14:textId="25A0C4FD" w:rsidR="00AC502B" w:rsidRDefault="00AC502B">
      <w:pPr>
        <w:widowControl/>
        <w:jc w:val="left"/>
        <w:rPr>
          <w:rFonts w:ascii="Times New Roman" w:hAnsi="Times New Roman" w:cs="Times New Roman"/>
          <w:color w:val="000033"/>
          <w:sz w:val="24"/>
        </w:rPr>
      </w:pPr>
      <w:r>
        <w:rPr>
          <w:rFonts w:ascii="Times New Roman" w:hAnsi="Times New Roman" w:cs="Times New Roman"/>
          <w:color w:val="000033"/>
          <w:sz w:val="24"/>
        </w:rPr>
        <w:br w:type="page"/>
      </w:r>
    </w:p>
    <w:p w14:paraId="616C68D7" w14:textId="77777777" w:rsidR="00AC502B"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lastRenderedPageBreak/>
        <w:t xml:space="preserve">Reviewer #3: </w:t>
      </w:r>
    </w:p>
    <w:p w14:paraId="5CF4D531" w14:textId="7886AB74"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After reviewing the authors' response and the revised version of the manuscript, I consider that the authors have satisfactorily addressed the main concerns raised by the reviewers. My recommendation is to accept.</w:t>
      </w:r>
    </w:p>
    <w:p w14:paraId="37A39749" w14:textId="77777777" w:rsidR="00187970" w:rsidRDefault="00187970" w:rsidP="00187970">
      <w:pPr>
        <w:rPr>
          <w:rFonts w:ascii="Times New Roman" w:hAnsi="Times New Roman" w:cs="Times New Roman"/>
          <w:color w:val="000033"/>
          <w:sz w:val="24"/>
        </w:rPr>
      </w:pPr>
    </w:p>
    <w:p w14:paraId="718135E1" w14:textId="6CFBFC74" w:rsidR="00AC502B" w:rsidRPr="00AC502B" w:rsidRDefault="00AC502B" w:rsidP="00187970">
      <w:pPr>
        <w:rPr>
          <w:rFonts w:ascii="Times New Roman" w:hAnsi="Times New Roman" w:cs="Times New Roman" w:hint="eastAsia"/>
          <w:color w:val="205E9A"/>
          <w:sz w:val="24"/>
        </w:rPr>
      </w:pPr>
      <w:r w:rsidRPr="00AC502B">
        <w:rPr>
          <w:rFonts w:ascii="Times New Roman" w:hAnsi="Times New Roman" w:cs="Times New Roman"/>
          <w:color w:val="205E9A"/>
          <w:sz w:val="24"/>
        </w:rPr>
        <w:t>We would like to express our sincere gratitude to Reviewer #3 for the positive feedback and recommendation. We appreciate your careful reading of both the revised manuscript and our point-by-point response. Your acknowledgement that the key concerns have been satisfactorily addressed is very encouraging, and we are grateful for your support throughout the review process.</w:t>
      </w:r>
    </w:p>
    <w:p w14:paraId="19EFA73C" w14:textId="77777777" w:rsidR="00187970" w:rsidRPr="00187970" w:rsidRDefault="00187970" w:rsidP="00187970">
      <w:pPr>
        <w:rPr>
          <w:rFonts w:ascii="Times New Roman" w:hAnsi="Times New Roman" w:cs="Times New Roman"/>
          <w:color w:val="000033"/>
          <w:sz w:val="24"/>
        </w:rPr>
      </w:pPr>
    </w:p>
    <w:p w14:paraId="7E7ABC2C" w14:textId="77777777" w:rsidR="00AC502B" w:rsidRDefault="00AC502B">
      <w:pPr>
        <w:widowControl/>
        <w:jc w:val="left"/>
        <w:rPr>
          <w:rFonts w:ascii="Times New Roman" w:hAnsi="Times New Roman" w:cs="Times New Roman"/>
          <w:color w:val="205E9A"/>
          <w:sz w:val="24"/>
        </w:rPr>
      </w:pPr>
      <w:r>
        <w:rPr>
          <w:rFonts w:ascii="Times New Roman" w:hAnsi="Times New Roman" w:cs="Times New Roman"/>
          <w:color w:val="205E9A"/>
          <w:sz w:val="24"/>
        </w:rPr>
        <w:br w:type="page"/>
      </w:r>
    </w:p>
    <w:p w14:paraId="477D255B" w14:textId="77777777" w:rsidR="00146E69"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lastRenderedPageBreak/>
        <w:t xml:space="preserve">Reviewer #4: </w:t>
      </w:r>
    </w:p>
    <w:p w14:paraId="19EF68DD" w14:textId="0025DC32" w:rsidR="00187970" w:rsidRP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Review of 'Why Are Global P2P Lending Platforms Transforming Their Business Models? A Comparative Analysis of Risks and Regulations'</w:t>
      </w:r>
    </w:p>
    <w:p w14:paraId="1096A561" w14:textId="77777777" w:rsidR="00187970" w:rsidRPr="00187970" w:rsidRDefault="00187970" w:rsidP="00187970">
      <w:pPr>
        <w:rPr>
          <w:rFonts w:ascii="Times New Roman" w:hAnsi="Times New Roman" w:cs="Times New Roman"/>
          <w:color w:val="000033"/>
          <w:sz w:val="24"/>
        </w:rPr>
      </w:pPr>
    </w:p>
    <w:p w14:paraId="7E532B76"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The authors have responded very thoroughly to the comments provided by the previous set of peer reviewers, and the article is now well situated in the literature and makes its purported contribution clear. The authors have clarified the limitations of their study and the risks of survivorship bias.</w:t>
      </w:r>
    </w:p>
    <w:p w14:paraId="05A38FC5" w14:textId="77777777" w:rsidR="00146E69" w:rsidRPr="00187970" w:rsidRDefault="00146E69" w:rsidP="00187970">
      <w:pPr>
        <w:rPr>
          <w:rFonts w:ascii="Times New Roman" w:hAnsi="Times New Roman" w:cs="Times New Roman" w:hint="eastAsia"/>
          <w:color w:val="000033"/>
          <w:sz w:val="24"/>
        </w:rPr>
      </w:pPr>
    </w:p>
    <w:p w14:paraId="57B75B08"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I think there are still considerable issues with the scope of the project that need to be addressed. In particular, the authors </w:t>
      </w:r>
      <w:proofErr w:type="spellStart"/>
      <w:r w:rsidRPr="00187970">
        <w:rPr>
          <w:rFonts w:ascii="Times New Roman" w:hAnsi="Times New Roman" w:cs="Times New Roman"/>
          <w:color w:val="000033"/>
          <w:sz w:val="24"/>
        </w:rPr>
        <w:t>recognise</w:t>
      </w:r>
      <w:proofErr w:type="spellEnd"/>
      <w:r w:rsidRPr="00187970">
        <w:rPr>
          <w:rFonts w:ascii="Times New Roman" w:hAnsi="Times New Roman" w:cs="Times New Roman"/>
          <w:color w:val="000033"/>
          <w:sz w:val="24"/>
        </w:rPr>
        <w:t xml:space="preserve"> at page 8 that it is difficult to assess the co-evolution of business models and regulation from publicly available documents. Moreover, the breadth of regulation that is covered by the paper is too broad. Most fundamentally, it is difficult to see what we can learn from a brief overview of how different platforms responded to different regulatory regimes. There is no attempt to identify causality, and the reader is left wondering how far the different regimes overlapped or differed, how far they pursued the same or different goals, and what explains the response of the company to the regulation.</w:t>
      </w:r>
    </w:p>
    <w:p w14:paraId="1A6C8F9B" w14:textId="77777777" w:rsidR="00146E69" w:rsidRPr="00187970" w:rsidRDefault="00146E69" w:rsidP="00187970">
      <w:pPr>
        <w:rPr>
          <w:rFonts w:ascii="Times New Roman" w:hAnsi="Times New Roman" w:cs="Times New Roman" w:hint="eastAsia"/>
          <w:color w:val="000033"/>
          <w:sz w:val="24"/>
        </w:rPr>
      </w:pPr>
    </w:p>
    <w:p w14:paraId="302C23D7"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I will make </w:t>
      </w:r>
      <w:proofErr w:type="gramStart"/>
      <w:r w:rsidRPr="00187970">
        <w:rPr>
          <w:rFonts w:ascii="Times New Roman" w:hAnsi="Times New Roman" w:cs="Times New Roman"/>
          <w:color w:val="000033"/>
          <w:sz w:val="24"/>
        </w:rPr>
        <w:t>a number of</w:t>
      </w:r>
      <w:proofErr w:type="gramEnd"/>
      <w:r w:rsidRPr="00187970">
        <w:rPr>
          <w:rFonts w:ascii="Times New Roman" w:hAnsi="Times New Roman" w:cs="Times New Roman"/>
          <w:color w:val="000033"/>
          <w:sz w:val="24"/>
        </w:rPr>
        <w:t xml:space="preserve"> separate comments to flesh these comments out.</w:t>
      </w:r>
    </w:p>
    <w:p w14:paraId="634F0404" w14:textId="77777777" w:rsidR="00146E69" w:rsidRPr="00187970" w:rsidRDefault="00146E69" w:rsidP="00187970">
      <w:pPr>
        <w:rPr>
          <w:rFonts w:ascii="Times New Roman" w:hAnsi="Times New Roman" w:cs="Times New Roman" w:hint="eastAsia"/>
          <w:color w:val="000033"/>
          <w:sz w:val="24"/>
        </w:rPr>
      </w:pPr>
    </w:p>
    <w:p w14:paraId="2867B218"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1. The literature review covers some areas that do not seem relevant, particularly </w:t>
      </w:r>
      <w:proofErr w:type="spellStart"/>
      <w:r w:rsidRPr="00187970">
        <w:rPr>
          <w:rFonts w:ascii="Times New Roman" w:hAnsi="Times New Roman" w:cs="Times New Roman"/>
          <w:color w:val="000033"/>
          <w:sz w:val="24"/>
        </w:rPr>
        <w:t>securitisation</w:t>
      </w:r>
      <w:proofErr w:type="spellEnd"/>
      <w:r w:rsidRPr="00187970">
        <w:rPr>
          <w:rFonts w:ascii="Times New Roman" w:hAnsi="Times New Roman" w:cs="Times New Roman"/>
          <w:color w:val="000033"/>
          <w:sz w:val="24"/>
        </w:rPr>
        <w:t xml:space="preserve"> and systemic risk. There is no indication </w:t>
      </w:r>
      <w:proofErr w:type="gramStart"/>
      <w:r w:rsidRPr="00187970">
        <w:rPr>
          <w:rFonts w:ascii="Times New Roman" w:hAnsi="Times New Roman" w:cs="Times New Roman"/>
          <w:color w:val="000033"/>
          <w:sz w:val="24"/>
        </w:rPr>
        <w:t>later on</w:t>
      </w:r>
      <w:proofErr w:type="gramEnd"/>
      <w:r w:rsidRPr="00187970">
        <w:rPr>
          <w:rFonts w:ascii="Times New Roman" w:hAnsi="Times New Roman" w:cs="Times New Roman"/>
          <w:color w:val="000033"/>
          <w:sz w:val="24"/>
        </w:rPr>
        <w:t xml:space="preserve"> that the regulation under consideration addressed these issues, so it is not clear why they need to be discussed at all.</w:t>
      </w:r>
    </w:p>
    <w:p w14:paraId="128C6F15" w14:textId="77777777" w:rsidR="00C54BD0" w:rsidRDefault="00C54BD0" w:rsidP="00187970">
      <w:pPr>
        <w:rPr>
          <w:rFonts w:ascii="Times New Roman" w:hAnsi="Times New Roman" w:cs="Times New Roman"/>
          <w:color w:val="000033"/>
          <w:sz w:val="24"/>
        </w:rPr>
      </w:pPr>
    </w:p>
    <w:p w14:paraId="7CB0DE40" w14:textId="77777777" w:rsidR="00C54BD0" w:rsidRPr="00C54BD0" w:rsidRDefault="00C54BD0" w:rsidP="00C54BD0">
      <w:pPr>
        <w:rPr>
          <w:rFonts w:ascii="Times New Roman" w:hAnsi="Times New Roman" w:cs="Times New Roman"/>
          <w:color w:val="205E9A"/>
          <w:sz w:val="24"/>
        </w:rPr>
      </w:pPr>
      <w:r w:rsidRPr="00C54BD0">
        <w:rPr>
          <w:rFonts w:ascii="Times New Roman" w:hAnsi="Times New Roman" w:cs="Times New Roman"/>
          <w:color w:val="205E9A"/>
          <w:sz w:val="24"/>
        </w:rPr>
        <w:t xml:space="preserve">We appreciate this observation and would like to clarify the rationale for including references to </w:t>
      </w:r>
      <w:proofErr w:type="spellStart"/>
      <w:r w:rsidRPr="00C54BD0">
        <w:rPr>
          <w:rFonts w:ascii="Times New Roman" w:hAnsi="Times New Roman" w:cs="Times New Roman"/>
          <w:color w:val="205E9A"/>
          <w:sz w:val="24"/>
        </w:rPr>
        <w:t>securitisation</w:t>
      </w:r>
      <w:proofErr w:type="spellEnd"/>
      <w:r w:rsidRPr="00C54BD0">
        <w:rPr>
          <w:rFonts w:ascii="Times New Roman" w:hAnsi="Times New Roman" w:cs="Times New Roman"/>
          <w:color w:val="205E9A"/>
          <w:sz w:val="24"/>
        </w:rPr>
        <w:t xml:space="preserve"> and systemic risk in the literature review. These elements were incorporated following a suggestion by Reviewer #3 in the first round, who recommended a brief reflection on broader sectoral implications—such as financial inclusion, systemic risk, and investor protection—</w:t>
      </w:r>
      <w:proofErr w:type="gramStart"/>
      <w:r w:rsidRPr="00C54BD0">
        <w:rPr>
          <w:rFonts w:ascii="Times New Roman" w:hAnsi="Times New Roman" w:cs="Times New Roman"/>
          <w:color w:val="205E9A"/>
          <w:sz w:val="24"/>
        </w:rPr>
        <w:t>in order to</w:t>
      </w:r>
      <w:proofErr w:type="gramEnd"/>
      <w:r w:rsidRPr="00C54BD0">
        <w:rPr>
          <w:rFonts w:ascii="Times New Roman" w:hAnsi="Times New Roman" w:cs="Times New Roman"/>
          <w:color w:val="205E9A"/>
          <w:sz w:val="24"/>
        </w:rPr>
        <w:t xml:space="preserve"> contextualize the evolution of P2P lending within the wider financial system. In response, we introduced relevant discussions to situate P2P lending not only as a product innovation, but also as part of a broader reconfiguration of intermediation models, some of which may carry implications for financial stability.</w:t>
      </w:r>
    </w:p>
    <w:p w14:paraId="284B3596" w14:textId="77777777" w:rsidR="00C54BD0" w:rsidRPr="00C54BD0" w:rsidRDefault="00C54BD0" w:rsidP="00C54BD0">
      <w:pPr>
        <w:rPr>
          <w:rFonts w:ascii="Times New Roman" w:hAnsi="Times New Roman" w:cs="Times New Roman"/>
          <w:color w:val="205E9A"/>
          <w:sz w:val="24"/>
        </w:rPr>
      </w:pPr>
    </w:p>
    <w:p w14:paraId="5A868ABC" w14:textId="68538A64" w:rsidR="00C54BD0" w:rsidRPr="00C54BD0" w:rsidRDefault="00C54BD0" w:rsidP="00C54BD0">
      <w:pPr>
        <w:rPr>
          <w:rFonts w:ascii="Times New Roman" w:hAnsi="Times New Roman" w:cs="Times New Roman" w:hint="eastAsia"/>
          <w:color w:val="205E9A"/>
          <w:sz w:val="24"/>
        </w:rPr>
      </w:pPr>
      <w:r w:rsidRPr="00C54BD0">
        <w:rPr>
          <w:rFonts w:ascii="Times New Roman" w:hAnsi="Times New Roman" w:cs="Times New Roman"/>
          <w:color w:val="205E9A"/>
          <w:sz w:val="24"/>
        </w:rPr>
        <w:t xml:space="preserve">While not all regulatory regimes addressed systemic risk or </w:t>
      </w:r>
      <w:proofErr w:type="spellStart"/>
      <w:r w:rsidRPr="00C54BD0">
        <w:rPr>
          <w:rFonts w:ascii="Times New Roman" w:hAnsi="Times New Roman" w:cs="Times New Roman"/>
          <w:color w:val="205E9A"/>
          <w:sz w:val="24"/>
        </w:rPr>
        <w:t>securitisation</w:t>
      </w:r>
      <w:proofErr w:type="spellEnd"/>
      <w:r w:rsidRPr="00C54BD0">
        <w:rPr>
          <w:rFonts w:ascii="Times New Roman" w:hAnsi="Times New Roman" w:cs="Times New Roman"/>
          <w:color w:val="205E9A"/>
          <w:sz w:val="24"/>
        </w:rPr>
        <w:t xml:space="preserve"> directly, these concerns have shaped the narrative around platform credibility and long-term viability, and in certain jurisdictions, they contributed to regulatory tightening (e.g., regarding loan pooling or investor protection). Including this background helps clarify why regulators have increasingly treated P2P lending as more than a niche innovation, and why platforms themselves have moved toward </w:t>
      </w:r>
      <w:proofErr w:type="spellStart"/>
      <w:r w:rsidRPr="00C54BD0">
        <w:rPr>
          <w:rFonts w:ascii="Times New Roman" w:hAnsi="Times New Roman" w:cs="Times New Roman"/>
          <w:color w:val="205E9A"/>
          <w:sz w:val="24"/>
        </w:rPr>
        <w:t>institutionalisation</w:t>
      </w:r>
      <w:proofErr w:type="spellEnd"/>
      <w:r w:rsidRPr="00C54BD0">
        <w:rPr>
          <w:rFonts w:ascii="Times New Roman" w:hAnsi="Times New Roman" w:cs="Times New Roman"/>
          <w:color w:val="205E9A"/>
          <w:sz w:val="24"/>
        </w:rPr>
        <w:t xml:space="preserve"> or strategic retreat. We therefore consider this framing useful in supporting the reader’s understanding of both the regulatory rationale and the broader financial context in which platform </w:t>
      </w:r>
      <w:r w:rsidRPr="00C54BD0">
        <w:rPr>
          <w:rFonts w:ascii="Times New Roman" w:hAnsi="Times New Roman" w:cs="Times New Roman"/>
          <w:color w:val="205E9A"/>
          <w:sz w:val="24"/>
        </w:rPr>
        <w:lastRenderedPageBreak/>
        <w:t>transitions occurred.</w:t>
      </w:r>
    </w:p>
    <w:p w14:paraId="1E0C23F6" w14:textId="77777777" w:rsidR="00146E69" w:rsidRPr="00187970" w:rsidRDefault="00146E69" w:rsidP="00187970">
      <w:pPr>
        <w:rPr>
          <w:rFonts w:ascii="Times New Roman" w:hAnsi="Times New Roman" w:cs="Times New Roman" w:hint="eastAsia"/>
          <w:color w:val="000033"/>
          <w:sz w:val="24"/>
        </w:rPr>
      </w:pPr>
    </w:p>
    <w:p w14:paraId="2D280508"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2. Part 3 does not explain why or how the eight companies were chosen. </w:t>
      </w:r>
      <w:proofErr w:type="gramStart"/>
      <w:r w:rsidRPr="00187970">
        <w:rPr>
          <w:rFonts w:ascii="Times New Roman" w:hAnsi="Times New Roman" w:cs="Times New Roman"/>
          <w:color w:val="000033"/>
          <w:sz w:val="24"/>
        </w:rPr>
        <w:t>In particular, was</w:t>
      </w:r>
      <w:proofErr w:type="gramEnd"/>
      <w:r w:rsidRPr="00187970">
        <w:rPr>
          <w:rFonts w:ascii="Times New Roman" w:hAnsi="Times New Roman" w:cs="Times New Roman"/>
          <w:color w:val="000033"/>
          <w:sz w:val="24"/>
        </w:rPr>
        <w:t xml:space="preserve"> there an attempt to achieve some kind of geographical spread? But the home countries of the platforms </w:t>
      </w:r>
      <w:proofErr w:type="gramStart"/>
      <w:r w:rsidRPr="00187970">
        <w:rPr>
          <w:rFonts w:ascii="Times New Roman" w:hAnsi="Times New Roman" w:cs="Times New Roman"/>
          <w:color w:val="000033"/>
          <w:sz w:val="24"/>
        </w:rPr>
        <w:t>is</w:t>
      </w:r>
      <w:proofErr w:type="gramEnd"/>
      <w:r w:rsidRPr="00187970">
        <w:rPr>
          <w:rFonts w:ascii="Times New Roman" w:hAnsi="Times New Roman" w:cs="Times New Roman"/>
          <w:color w:val="000033"/>
          <w:sz w:val="24"/>
        </w:rPr>
        <w:t xml:space="preserve"> only confirmed (in some cases implicitly e.g. Prosper) when each platform is considered in more detail in part </w:t>
      </w:r>
      <w:proofErr w:type="gramStart"/>
      <w:r w:rsidRPr="00187970">
        <w:rPr>
          <w:rFonts w:ascii="Times New Roman" w:hAnsi="Times New Roman" w:cs="Times New Roman"/>
          <w:color w:val="000033"/>
          <w:sz w:val="24"/>
        </w:rPr>
        <w:t>4, and</w:t>
      </w:r>
      <w:proofErr w:type="gramEnd"/>
      <w:r w:rsidRPr="00187970">
        <w:rPr>
          <w:rFonts w:ascii="Times New Roman" w:hAnsi="Times New Roman" w:cs="Times New Roman"/>
          <w:color w:val="000033"/>
          <w:sz w:val="24"/>
        </w:rPr>
        <w:t xml:space="preserve"> then confirmed in part 5. Nor is there any discussion in part 3 about the merits of this choice of platforms from the perspective of including a range of different regulatory regimes in the paper.</w:t>
      </w:r>
    </w:p>
    <w:p w14:paraId="1EDB785C" w14:textId="77777777" w:rsidR="00C54BD0" w:rsidRDefault="00C54BD0" w:rsidP="00187970">
      <w:pPr>
        <w:rPr>
          <w:rFonts w:ascii="Times New Roman" w:hAnsi="Times New Roman" w:cs="Times New Roman"/>
          <w:color w:val="000033"/>
          <w:sz w:val="24"/>
        </w:rPr>
      </w:pPr>
    </w:p>
    <w:p w14:paraId="2A87136F" w14:textId="09A4CA8F" w:rsidR="008124F6" w:rsidRPr="008124F6" w:rsidRDefault="008124F6" w:rsidP="008124F6">
      <w:pPr>
        <w:rPr>
          <w:rFonts w:ascii="Times New Roman" w:hAnsi="Times New Roman" w:cs="Times New Roman"/>
          <w:color w:val="205E9A"/>
          <w:sz w:val="24"/>
        </w:rPr>
      </w:pPr>
      <w:r w:rsidRPr="008124F6">
        <w:rPr>
          <w:rFonts w:ascii="Times New Roman" w:hAnsi="Times New Roman" w:cs="Times New Roman"/>
          <w:color w:val="205E9A"/>
          <w:sz w:val="24"/>
        </w:rPr>
        <w:t>We appreciate this thoughtful comment and would like to clarify that Section 3.2 outlines the rationale for selecting the eight platforms included in our analysis. As described in that subsection, our goal was not to construct a statistically representative sample, but rather to select a set of platforms that collectively reflect the diversity of business models, governance structures, and institutional contexts that have emerged within the global P2P lending landscape. This approach follows a “maximum variation” logic that seeks to highlight meaningful contrasts among platforms that are well-documented and widely discussed in academic, regulatory, or industry sources.</w:t>
      </w:r>
    </w:p>
    <w:p w14:paraId="1B014365" w14:textId="77777777" w:rsidR="008124F6" w:rsidRPr="008124F6" w:rsidRDefault="008124F6" w:rsidP="008124F6">
      <w:pPr>
        <w:rPr>
          <w:rFonts w:ascii="Times New Roman" w:hAnsi="Times New Roman" w:cs="Times New Roman"/>
          <w:color w:val="205E9A"/>
          <w:sz w:val="24"/>
        </w:rPr>
      </w:pPr>
    </w:p>
    <w:p w14:paraId="1A834AC4" w14:textId="77777777" w:rsidR="008124F6" w:rsidRPr="008124F6" w:rsidRDefault="008124F6" w:rsidP="008124F6">
      <w:pPr>
        <w:rPr>
          <w:rFonts w:ascii="Times New Roman" w:hAnsi="Times New Roman" w:cs="Times New Roman"/>
          <w:color w:val="205E9A"/>
          <w:sz w:val="24"/>
        </w:rPr>
      </w:pPr>
      <w:r w:rsidRPr="008124F6">
        <w:rPr>
          <w:rFonts w:ascii="Times New Roman" w:hAnsi="Times New Roman" w:cs="Times New Roman"/>
          <w:color w:val="205E9A"/>
          <w:sz w:val="24"/>
        </w:rPr>
        <w:t>In the same section, we also explicitly acknowledge the limitations of this sampling approach, particularly the potential for selection and survivorship bias. This discussion was incorporated in response to first-round reviewer suggestions and is intended to make transparent the scope and constraints of our empirical analysis. Our objective is not to offer statistical generalizations about platform outcomes across all jurisdictions, but rather to provide a structured comparative account of how prominent platforms have responded to internal risk factors and external regulatory pressures.</w:t>
      </w:r>
    </w:p>
    <w:p w14:paraId="39D80936" w14:textId="77777777" w:rsidR="008124F6" w:rsidRPr="008124F6" w:rsidRDefault="008124F6" w:rsidP="008124F6">
      <w:pPr>
        <w:rPr>
          <w:rFonts w:ascii="Times New Roman" w:hAnsi="Times New Roman" w:cs="Times New Roman"/>
          <w:color w:val="205E9A"/>
          <w:sz w:val="24"/>
        </w:rPr>
      </w:pPr>
    </w:p>
    <w:p w14:paraId="631AFD02" w14:textId="2FE62573" w:rsidR="008124F6" w:rsidRPr="008124F6" w:rsidRDefault="008124F6" w:rsidP="008124F6">
      <w:pPr>
        <w:rPr>
          <w:rFonts w:ascii="Times New Roman" w:hAnsi="Times New Roman" w:cs="Times New Roman" w:hint="eastAsia"/>
          <w:color w:val="205E9A"/>
          <w:sz w:val="24"/>
        </w:rPr>
      </w:pPr>
      <w:r w:rsidRPr="008124F6">
        <w:rPr>
          <w:rFonts w:ascii="Times New Roman" w:hAnsi="Times New Roman" w:cs="Times New Roman"/>
          <w:color w:val="205E9A"/>
          <w:sz w:val="24"/>
        </w:rPr>
        <w:t>While we agree that more explicit reference to country contexts in Section 3 might have aided early reader orientation, the national regulatory environments of each platform are consistently introduced in Section 4, where individual cases are analyzed in detail. The broader synthesis in Section 5 then draws attention to cross-case patterns and contextual differences. Although our selection was not driven by a strict geographical framework, it does cover platforms from a diverse set of regulatory environments, including the US, UK, China, India, and the EU. We therefore believe that the paper offers a sufficiently broad basis for drawing comparative insights about regulatory and strategic interactions, while remaining grounded in realistic methodological constraints.</w:t>
      </w:r>
    </w:p>
    <w:p w14:paraId="2E7108BA" w14:textId="77777777" w:rsidR="00146E69" w:rsidRPr="00187970" w:rsidRDefault="00146E69" w:rsidP="00187970">
      <w:pPr>
        <w:rPr>
          <w:rFonts w:ascii="Times New Roman" w:hAnsi="Times New Roman" w:cs="Times New Roman" w:hint="eastAsia"/>
          <w:color w:val="000033"/>
          <w:sz w:val="24"/>
        </w:rPr>
      </w:pPr>
    </w:p>
    <w:p w14:paraId="7355D43A"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3. Perhaps reflecting the limitations of the data, part 4 just consists of a short overview of eight P2P platforms operating in different markets, and the way they have (or have not) adapted their model. Some have moved away from P2P, some have not. The question must be why.</w:t>
      </w:r>
    </w:p>
    <w:p w14:paraId="664447F8" w14:textId="77777777" w:rsidR="00146E69" w:rsidRDefault="00146E69" w:rsidP="00187970">
      <w:pPr>
        <w:rPr>
          <w:rFonts w:ascii="Times New Roman" w:hAnsi="Times New Roman" w:cs="Times New Roman"/>
          <w:color w:val="000033"/>
          <w:sz w:val="24"/>
        </w:rPr>
      </w:pPr>
    </w:p>
    <w:p w14:paraId="017963A1" w14:textId="77777777" w:rsidR="003C3958" w:rsidRPr="003C3958" w:rsidRDefault="003C3958" w:rsidP="003C3958">
      <w:pPr>
        <w:rPr>
          <w:rFonts w:ascii="Times New Roman" w:hAnsi="Times New Roman" w:cs="Times New Roman"/>
          <w:color w:val="205E9A"/>
          <w:sz w:val="24"/>
        </w:rPr>
      </w:pPr>
      <w:r w:rsidRPr="003C3958">
        <w:rPr>
          <w:rFonts w:ascii="Times New Roman" w:hAnsi="Times New Roman" w:cs="Times New Roman"/>
          <w:color w:val="205E9A"/>
          <w:sz w:val="24"/>
        </w:rPr>
        <w:t xml:space="preserve">We fully agree that the central question motivating the empirical analysis is precisely “why” some platforms have exited or transformed their P2P model while others have not. This question forms the core of our inquiry in Section 4, where we analyze each </w:t>
      </w:r>
      <w:r w:rsidRPr="003C3958">
        <w:rPr>
          <w:rFonts w:ascii="Times New Roman" w:hAnsi="Times New Roman" w:cs="Times New Roman"/>
          <w:color w:val="205E9A"/>
          <w:sz w:val="24"/>
        </w:rPr>
        <w:lastRenderedPageBreak/>
        <w:t xml:space="preserve">platform’s historical development, product evolution, and strategic adjustments </w:t>
      </w:r>
      <w:proofErr w:type="gramStart"/>
      <w:r w:rsidRPr="003C3958">
        <w:rPr>
          <w:rFonts w:ascii="Times New Roman" w:hAnsi="Times New Roman" w:cs="Times New Roman"/>
          <w:color w:val="205E9A"/>
          <w:sz w:val="24"/>
        </w:rPr>
        <w:t>in light of</w:t>
      </w:r>
      <w:proofErr w:type="gramEnd"/>
      <w:r w:rsidRPr="003C3958">
        <w:rPr>
          <w:rFonts w:ascii="Times New Roman" w:hAnsi="Times New Roman" w:cs="Times New Roman"/>
          <w:color w:val="205E9A"/>
          <w:sz w:val="24"/>
        </w:rPr>
        <w:t xml:space="preserve"> both internal structural factors (e.g., business model fragility, risk transfer mechanisms) and external constraints (e.g., regulatory tightening, investor confidence, macro-financial conditions).</w:t>
      </w:r>
    </w:p>
    <w:p w14:paraId="28EFBEC1" w14:textId="77777777" w:rsidR="003C3958" w:rsidRPr="003C3958" w:rsidRDefault="003C3958" w:rsidP="003C3958">
      <w:pPr>
        <w:rPr>
          <w:rFonts w:ascii="Times New Roman" w:hAnsi="Times New Roman" w:cs="Times New Roman"/>
          <w:color w:val="205E9A"/>
          <w:sz w:val="24"/>
        </w:rPr>
      </w:pPr>
    </w:p>
    <w:p w14:paraId="1075AC7D" w14:textId="77777777" w:rsidR="003C3958" w:rsidRPr="003C3958" w:rsidRDefault="003C3958" w:rsidP="003C3958">
      <w:pPr>
        <w:rPr>
          <w:rFonts w:ascii="Times New Roman" w:hAnsi="Times New Roman" w:cs="Times New Roman"/>
          <w:color w:val="205E9A"/>
          <w:sz w:val="24"/>
        </w:rPr>
      </w:pPr>
      <w:r w:rsidRPr="003C3958">
        <w:rPr>
          <w:rFonts w:ascii="Times New Roman" w:hAnsi="Times New Roman" w:cs="Times New Roman"/>
          <w:color w:val="205E9A"/>
          <w:sz w:val="24"/>
        </w:rPr>
        <w:t>The platform-level narratives in Section 4 are intended not merely as descriptive overviews, but as building blocks for a comparative interpretation of platform behavior under varying institutional and operational environments. The diversity of outcomes observed—ranging from full exit to partial adaptation—is precisely what the paper seeks to explain through the dual lens of internal vulnerabilities and external pressures, which is systematically laid out in the framing of Section 4.1 and revisited in the synthesis of Section 5.</w:t>
      </w:r>
    </w:p>
    <w:p w14:paraId="0D66E322" w14:textId="77777777" w:rsidR="003C3958" w:rsidRPr="003C3958" w:rsidRDefault="003C3958" w:rsidP="003C3958">
      <w:pPr>
        <w:rPr>
          <w:rFonts w:ascii="Times New Roman" w:hAnsi="Times New Roman" w:cs="Times New Roman"/>
          <w:color w:val="205E9A"/>
          <w:sz w:val="24"/>
        </w:rPr>
      </w:pPr>
    </w:p>
    <w:p w14:paraId="44519ACD" w14:textId="3F245586" w:rsidR="003C3958" w:rsidRPr="003C3958" w:rsidRDefault="003C3958" w:rsidP="003C3958">
      <w:pPr>
        <w:rPr>
          <w:rFonts w:ascii="Times New Roman" w:hAnsi="Times New Roman" w:cs="Times New Roman"/>
          <w:color w:val="205E9A"/>
          <w:sz w:val="24"/>
        </w:rPr>
      </w:pPr>
      <w:r w:rsidRPr="003C3958">
        <w:rPr>
          <w:rFonts w:ascii="Times New Roman" w:hAnsi="Times New Roman" w:cs="Times New Roman"/>
          <w:color w:val="205E9A"/>
          <w:sz w:val="24"/>
        </w:rPr>
        <w:t>At the same time, we openly acknowledge the limitations of this analysis, particularly those stemming from the nature of available data. In Section 3.2, we note that reliance on publicly available sources and post-hoc documentation may limit our ability to reconstruct a fully causal chain between regulatory developments and firm-level decisions. Nonetheless, we believe the selected cases offer meaningful insights into the types of strategic responses that have emerged in the sector, and that the interpretive approach adopted remains appropriate given the empirical constraints.</w:t>
      </w:r>
    </w:p>
    <w:p w14:paraId="286FBD16" w14:textId="77777777" w:rsidR="003C3958" w:rsidRDefault="003C3958" w:rsidP="003C3958">
      <w:pPr>
        <w:rPr>
          <w:rFonts w:ascii="Times New Roman" w:hAnsi="Times New Roman" w:cs="Times New Roman"/>
          <w:color w:val="000033"/>
          <w:sz w:val="24"/>
        </w:rPr>
      </w:pPr>
    </w:p>
    <w:p w14:paraId="153A2529" w14:textId="77777777" w:rsidR="003C3958" w:rsidRPr="003C3958" w:rsidRDefault="003C3958" w:rsidP="003C3958">
      <w:pPr>
        <w:rPr>
          <w:rFonts w:ascii="Times New Roman" w:hAnsi="Times New Roman" w:cs="Times New Roman" w:hint="eastAsia"/>
          <w:color w:val="000033"/>
          <w:sz w:val="24"/>
        </w:rPr>
      </w:pPr>
    </w:p>
    <w:p w14:paraId="3EBBAA7C"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4. Part 5 fails to answer the question of why some platforms have changed and some have not. It needs to offer a much fuller and better referenced account of the changes in each regulatory environment. It might be better to structure this part by jurisdiction/regulatory </w:t>
      </w:r>
      <w:proofErr w:type="gramStart"/>
      <w:r w:rsidRPr="00187970">
        <w:rPr>
          <w:rFonts w:ascii="Times New Roman" w:hAnsi="Times New Roman" w:cs="Times New Roman"/>
          <w:color w:val="000033"/>
          <w:sz w:val="24"/>
        </w:rPr>
        <w:t>regime, and</w:t>
      </w:r>
      <w:proofErr w:type="gramEnd"/>
      <w:r w:rsidRPr="00187970">
        <w:rPr>
          <w:rFonts w:ascii="Times New Roman" w:hAnsi="Times New Roman" w:cs="Times New Roman"/>
          <w:color w:val="000033"/>
          <w:sz w:val="24"/>
        </w:rPr>
        <w:t xml:space="preserve"> then examine how different platforms in each jurisdiction responded to what were presumably the same rules. Part 5 shows that Lending Club and Prosper responded differently to the evolving </w:t>
      </w:r>
      <w:proofErr w:type="gramStart"/>
      <w:r w:rsidRPr="00187970">
        <w:rPr>
          <w:rFonts w:ascii="Times New Roman" w:hAnsi="Times New Roman" w:cs="Times New Roman"/>
          <w:color w:val="000033"/>
          <w:sz w:val="24"/>
        </w:rPr>
        <w:t>US, but</w:t>
      </w:r>
      <w:proofErr w:type="gramEnd"/>
      <w:r w:rsidRPr="00187970">
        <w:rPr>
          <w:rFonts w:ascii="Times New Roman" w:hAnsi="Times New Roman" w:cs="Times New Roman"/>
          <w:color w:val="000033"/>
          <w:sz w:val="24"/>
        </w:rPr>
        <w:t xml:space="preserve"> doesn't explain why. Why did Prosper continue to operate as a P2P platform whilst Lending Club transformed to a bank? Presumably they offered some kind of public explanation, at least in their regulatory filings. This should be explored further.</w:t>
      </w:r>
    </w:p>
    <w:p w14:paraId="196C4F1D" w14:textId="77777777" w:rsidR="00146E69" w:rsidRDefault="00146E69" w:rsidP="00187970">
      <w:pPr>
        <w:rPr>
          <w:rFonts w:ascii="Times New Roman" w:hAnsi="Times New Roman" w:cs="Times New Roman"/>
          <w:color w:val="000033"/>
          <w:sz w:val="24"/>
        </w:rPr>
      </w:pPr>
    </w:p>
    <w:p w14:paraId="0EF2CE65" w14:textId="1E1D52B2" w:rsidR="00145EA7" w:rsidRPr="00145EA7" w:rsidRDefault="00145EA7" w:rsidP="00145EA7">
      <w:pPr>
        <w:rPr>
          <w:rFonts w:ascii="Times New Roman" w:hAnsi="Times New Roman" w:cs="Times New Roman"/>
          <w:color w:val="205E9A"/>
          <w:sz w:val="24"/>
        </w:rPr>
      </w:pPr>
      <w:r w:rsidRPr="00145EA7">
        <w:rPr>
          <w:rFonts w:ascii="Times New Roman" w:hAnsi="Times New Roman" w:cs="Times New Roman"/>
          <w:color w:val="205E9A"/>
          <w:sz w:val="24"/>
        </w:rPr>
        <w:t xml:space="preserve">We thank the reviewer for highlighting this important comparative angle, which we agree significantly enhances the analytical value of the paper. In response, we have added a dedicated subsection titled </w:t>
      </w:r>
      <w:r w:rsidR="00090F68">
        <w:rPr>
          <w:rFonts w:ascii="Times New Roman" w:hAnsi="Times New Roman" w:cs="Times New Roman"/>
          <w:color w:val="205E9A"/>
          <w:sz w:val="24"/>
        </w:rPr>
        <w:t>“</w:t>
      </w:r>
      <w:r w:rsidRPr="00145EA7">
        <w:rPr>
          <w:rFonts w:ascii="Times New Roman" w:hAnsi="Times New Roman" w:cs="Times New Roman"/>
          <w:color w:val="205E9A"/>
          <w:sz w:val="24"/>
        </w:rPr>
        <w:t>Cross-platform analysis: interactions between internal strategies and external pressures</w:t>
      </w:r>
      <w:r w:rsidR="00090F68">
        <w:rPr>
          <w:rFonts w:ascii="Times New Roman" w:hAnsi="Times New Roman" w:cs="Times New Roman"/>
          <w:color w:val="205E9A"/>
          <w:sz w:val="24"/>
        </w:rPr>
        <w:t>”</w:t>
      </w:r>
      <w:r w:rsidRPr="00145EA7">
        <w:rPr>
          <w:rFonts w:ascii="Times New Roman" w:hAnsi="Times New Roman" w:cs="Times New Roman"/>
          <w:color w:val="205E9A"/>
          <w:sz w:val="24"/>
        </w:rPr>
        <w:t xml:space="preserve"> under Section 5. This new subsection explicitly addresses the divergence in strategic responses among platforms operating within similar regulatory environments.</w:t>
      </w:r>
    </w:p>
    <w:p w14:paraId="13E4A62D" w14:textId="77777777" w:rsidR="00145EA7" w:rsidRPr="00145EA7" w:rsidRDefault="00145EA7" w:rsidP="00145EA7">
      <w:pPr>
        <w:rPr>
          <w:rFonts w:ascii="Times New Roman" w:hAnsi="Times New Roman" w:cs="Times New Roman"/>
          <w:color w:val="205E9A"/>
          <w:sz w:val="24"/>
        </w:rPr>
      </w:pPr>
    </w:p>
    <w:p w14:paraId="45C7C9A4" w14:textId="77777777" w:rsidR="00145EA7" w:rsidRPr="00145EA7" w:rsidRDefault="00145EA7" w:rsidP="00145EA7">
      <w:pPr>
        <w:rPr>
          <w:rFonts w:ascii="Times New Roman" w:hAnsi="Times New Roman" w:cs="Times New Roman"/>
          <w:color w:val="205E9A"/>
          <w:sz w:val="24"/>
        </w:rPr>
      </w:pPr>
      <w:r w:rsidRPr="00145EA7">
        <w:rPr>
          <w:rFonts w:ascii="Times New Roman" w:hAnsi="Times New Roman" w:cs="Times New Roman"/>
          <w:color w:val="205E9A"/>
          <w:sz w:val="24"/>
        </w:rPr>
        <w:t xml:space="preserve">In particular, the second paragraph of this new subsection directly examines the case of </w:t>
      </w:r>
      <w:proofErr w:type="spellStart"/>
      <w:r w:rsidRPr="00145EA7">
        <w:rPr>
          <w:rFonts w:ascii="Times New Roman" w:hAnsi="Times New Roman" w:cs="Times New Roman"/>
          <w:color w:val="205E9A"/>
          <w:sz w:val="24"/>
        </w:rPr>
        <w:t>LendingClub</w:t>
      </w:r>
      <w:proofErr w:type="spellEnd"/>
      <w:r w:rsidRPr="00145EA7">
        <w:rPr>
          <w:rFonts w:ascii="Times New Roman" w:hAnsi="Times New Roman" w:cs="Times New Roman"/>
          <w:color w:val="205E9A"/>
          <w:sz w:val="24"/>
        </w:rPr>
        <w:t xml:space="preserve"> and Prosper—two U.S.-based platforms that were both subject to the same SEC regulatory framework. We draw on publicly available company statements and media reports to explain </w:t>
      </w:r>
      <w:proofErr w:type="spellStart"/>
      <w:r w:rsidRPr="00145EA7">
        <w:rPr>
          <w:rFonts w:ascii="Times New Roman" w:hAnsi="Times New Roman" w:cs="Times New Roman"/>
          <w:color w:val="205E9A"/>
          <w:sz w:val="24"/>
        </w:rPr>
        <w:t>LendingClub’s</w:t>
      </w:r>
      <w:proofErr w:type="spellEnd"/>
      <w:r w:rsidRPr="00145EA7">
        <w:rPr>
          <w:rFonts w:ascii="Times New Roman" w:hAnsi="Times New Roman" w:cs="Times New Roman"/>
          <w:color w:val="205E9A"/>
          <w:sz w:val="24"/>
        </w:rPr>
        <w:t xml:space="preserve"> transition toward a bank model, which was motivated by operational challenges and the economic infeasibility of maintaining a </w:t>
      </w:r>
      <w:r w:rsidRPr="00145EA7">
        <w:rPr>
          <w:rFonts w:ascii="Times New Roman" w:hAnsi="Times New Roman" w:cs="Times New Roman"/>
          <w:color w:val="205E9A"/>
          <w:sz w:val="24"/>
        </w:rPr>
        <w:lastRenderedPageBreak/>
        <w:t xml:space="preserve">retail note program under a banking license. In contrast, we argue that Prosper’s continued reliance on the original P2P model reflects differences in product scope, growth ambitions, and internal resource alignment rather than any meaningful divergence in regulatory treatment. By presenting this comparison, we aim to clarify that similar external conditions can still produce varied platform trajectories when internal strategic considerations are </w:t>
      </w:r>
      <w:proofErr w:type="gramStart"/>
      <w:r w:rsidRPr="00145EA7">
        <w:rPr>
          <w:rFonts w:ascii="Times New Roman" w:hAnsi="Times New Roman" w:cs="Times New Roman"/>
          <w:color w:val="205E9A"/>
          <w:sz w:val="24"/>
        </w:rPr>
        <w:t>taken into account</w:t>
      </w:r>
      <w:proofErr w:type="gramEnd"/>
      <w:r w:rsidRPr="00145EA7">
        <w:rPr>
          <w:rFonts w:ascii="Times New Roman" w:hAnsi="Times New Roman" w:cs="Times New Roman"/>
          <w:color w:val="205E9A"/>
          <w:sz w:val="24"/>
        </w:rPr>
        <w:t>.</w:t>
      </w:r>
    </w:p>
    <w:p w14:paraId="1C8F6263" w14:textId="77777777" w:rsidR="00145EA7" w:rsidRPr="00145EA7" w:rsidRDefault="00145EA7" w:rsidP="00145EA7">
      <w:pPr>
        <w:rPr>
          <w:rFonts w:ascii="Times New Roman" w:hAnsi="Times New Roman" w:cs="Times New Roman"/>
          <w:color w:val="205E9A"/>
          <w:sz w:val="24"/>
        </w:rPr>
      </w:pPr>
    </w:p>
    <w:p w14:paraId="14070D7E" w14:textId="43BE2038" w:rsidR="00145EA7" w:rsidRPr="00145EA7" w:rsidRDefault="00145EA7" w:rsidP="00145EA7">
      <w:pPr>
        <w:rPr>
          <w:rFonts w:ascii="Times New Roman" w:hAnsi="Times New Roman" w:cs="Times New Roman"/>
          <w:color w:val="205E9A"/>
          <w:sz w:val="24"/>
        </w:rPr>
      </w:pPr>
      <w:r w:rsidRPr="00145EA7">
        <w:rPr>
          <w:rFonts w:ascii="Times New Roman" w:hAnsi="Times New Roman" w:cs="Times New Roman"/>
          <w:color w:val="205E9A"/>
          <w:sz w:val="24"/>
        </w:rPr>
        <w:t>We hope this addition directly responds to the reviewer’s comment and strengthens the explanatory depth of the paper.</w:t>
      </w:r>
    </w:p>
    <w:p w14:paraId="459C2CC2" w14:textId="77777777" w:rsidR="00145EA7" w:rsidRPr="00187970" w:rsidRDefault="00145EA7" w:rsidP="00187970">
      <w:pPr>
        <w:rPr>
          <w:rFonts w:ascii="Times New Roman" w:hAnsi="Times New Roman" w:cs="Times New Roman" w:hint="eastAsia"/>
          <w:color w:val="000033"/>
          <w:sz w:val="24"/>
        </w:rPr>
      </w:pPr>
    </w:p>
    <w:p w14:paraId="408822CD"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5. Zopa and Funding Circle are both subject to UK rules, but Funding Circle is also subject to EU and US rules. Can we learn anything from how these two different platforms responded in the face of different but overlapping regulatory regimes? It would be better to explore two UK platforms and compare their responses to the same UK regime, drawing on their explanations of any changes in their business models.</w:t>
      </w:r>
    </w:p>
    <w:p w14:paraId="390D17B1" w14:textId="77777777" w:rsidR="00090F68" w:rsidRDefault="00090F68" w:rsidP="00187970">
      <w:pPr>
        <w:rPr>
          <w:rFonts w:ascii="Times New Roman" w:hAnsi="Times New Roman" w:cs="Times New Roman"/>
          <w:color w:val="000033"/>
          <w:sz w:val="24"/>
        </w:rPr>
      </w:pPr>
    </w:p>
    <w:p w14:paraId="51F8A915" w14:textId="77777777" w:rsidR="00090F68" w:rsidRPr="00090F68" w:rsidRDefault="00090F68" w:rsidP="00090F68">
      <w:pPr>
        <w:rPr>
          <w:rFonts w:ascii="Times New Roman" w:hAnsi="Times New Roman" w:cs="Times New Roman"/>
          <w:color w:val="205E9A"/>
          <w:sz w:val="24"/>
        </w:rPr>
      </w:pPr>
      <w:r w:rsidRPr="00090F68">
        <w:rPr>
          <w:rFonts w:ascii="Times New Roman" w:hAnsi="Times New Roman" w:cs="Times New Roman"/>
          <w:color w:val="205E9A"/>
          <w:sz w:val="24"/>
        </w:rPr>
        <w:t>We appreciate this thoughtful suggestion, which touches on the analytical value of comparing platform responses within overlapping yet not identical regulatory environments. While we acknowledge that Funding Circle’s exposure to EU and US markets may introduce additional complexity, we believe the comparison with Zopa remains informative. Both platforms were licensed in the UK and operated under the oversight of the Financial Conduct Authority (FCA), and both faced the same tightening of retail investor protection rules beginning in 2019. The divergence in their strategic responses—Zopa's exit from P2P lending and transition into digital banking, versus Funding Circle’s retreat from retail investment while maintaining SME-focused institutional lending—provides a valuable opportunity to reflect on how business models, target borrower segments, and product positioning mediate regulatory responses.</w:t>
      </w:r>
    </w:p>
    <w:p w14:paraId="4B7B6DC2" w14:textId="77777777" w:rsidR="00090F68" w:rsidRPr="00090F68" w:rsidRDefault="00090F68" w:rsidP="00090F68">
      <w:pPr>
        <w:rPr>
          <w:rFonts w:ascii="Times New Roman" w:hAnsi="Times New Roman" w:cs="Times New Roman"/>
          <w:color w:val="205E9A"/>
          <w:sz w:val="24"/>
        </w:rPr>
      </w:pPr>
    </w:p>
    <w:p w14:paraId="6E4CAC79" w14:textId="17FF9CB5" w:rsidR="00090F68" w:rsidRPr="00090F68" w:rsidRDefault="00090F68" w:rsidP="00090F68">
      <w:pPr>
        <w:rPr>
          <w:rFonts w:ascii="Times New Roman" w:hAnsi="Times New Roman" w:cs="Times New Roman"/>
          <w:color w:val="205E9A"/>
          <w:sz w:val="24"/>
        </w:rPr>
      </w:pPr>
      <w:r w:rsidRPr="00090F68">
        <w:rPr>
          <w:rFonts w:ascii="Times New Roman" w:hAnsi="Times New Roman" w:cs="Times New Roman"/>
          <w:color w:val="205E9A"/>
          <w:sz w:val="24"/>
        </w:rPr>
        <w:t xml:space="preserve">To address this point more explicitly, we have included this comparison in the newly added subsection </w:t>
      </w:r>
      <w:r>
        <w:rPr>
          <w:rFonts w:ascii="Times New Roman" w:hAnsi="Times New Roman" w:cs="Times New Roman"/>
          <w:color w:val="205E9A"/>
          <w:sz w:val="24"/>
        </w:rPr>
        <w:t>“</w:t>
      </w:r>
      <w:r w:rsidRPr="00090F68">
        <w:rPr>
          <w:rFonts w:ascii="Times New Roman" w:hAnsi="Times New Roman" w:cs="Times New Roman"/>
          <w:color w:val="205E9A"/>
          <w:sz w:val="24"/>
        </w:rPr>
        <w:t>Cross-platform analysis: interactions between internal strategies and external pressures</w:t>
      </w:r>
      <w:r>
        <w:rPr>
          <w:rFonts w:ascii="Times New Roman" w:hAnsi="Times New Roman" w:cs="Times New Roman"/>
          <w:color w:val="205E9A"/>
          <w:sz w:val="24"/>
        </w:rPr>
        <w:t>”</w:t>
      </w:r>
      <w:r w:rsidRPr="00090F68">
        <w:rPr>
          <w:rFonts w:ascii="Times New Roman" w:hAnsi="Times New Roman" w:cs="Times New Roman"/>
          <w:color w:val="205E9A"/>
          <w:sz w:val="24"/>
        </w:rPr>
        <w:t xml:space="preserve"> under Section 5. This subsection examines how Zopa and Funding Circle responded differently to the same UK regulatory regime, drawing on their public statements and market behavior to highlight the interaction between external pressures and internal platform strategies. We hope this addition strengthens the comparative insight the reviewer was seeking.</w:t>
      </w:r>
    </w:p>
    <w:p w14:paraId="1B2AB8D6" w14:textId="77777777" w:rsidR="00090F68" w:rsidRDefault="00090F68" w:rsidP="00187970">
      <w:pPr>
        <w:rPr>
          <w:rFonts w:ascii="Times New Roman" w:hAnsi="Times New Roman" w:cs="Times New Roman"/>
          <w:color w:val="000033"/>
          <w:sz w:val="24"/>
        </w:rPr>
      </w:pPr>
    </w:p>
    <w:p w14:paraId="58EA3F27" w14:textId="77777777" w:rsidR="00146E69" w:rsidRPr="00187970" w:rsidRDefault="00146E69" w:rsidP="00187970">
      <w:pPr>
        <w:rPr>
          <w:rFonts w:ascii="Times New Roman" w:hAnsi="Times New Roman" w:cs="Times New Roman" w:hint="eastAsia"/>
          <w:color w:val="000033"/>
          <w:sz w:val="24"/>
        </w:rPr>
      </w:pPr>
    </w:p>
    <w:p w14:paraId="41ABDE73"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6. What do we learn from the </w:t>
      </w:r>
      <w:proofErr w:type="spellStart"/>
      <w:r w:rsidRPr="00187970">
        <w:rPr>
          <w:rFonts w:ascii="Times New Roman" w:hAnsi="Times New Roman" w:cs="Times New Roman"/>
          <w:color w:val="000033"/>
          <w:sz w:val="24"/>
        </w:rPr>
        <w:t>Yiren</w:t>
      </w:r>
      <w:proofErr w:type="spellEnd"/>
      <w:r w:rsidRPr="00187970">
        <w:rPr>
          <w:rFonts w:ascii="Times New Roman" w:hAnsi="Times New Roman" w:cs="Times New Roman"/>
          <w:color w:val="000033"/>
          <w:sz w:val="24"/>
        </w:rPr>
        <w:t xml:space="preserve"> example? That it </w:t>
      </w:r>
      <w:proofErr w:type="gramStart"/>
      <w:r w:rsidRPr="00187970">
        <w:rPr>
          <w:rFonts w:ascii="Times New Roman" w:hAnsi="Times New Roman" w:cs="Times New Roman"/>
          <w:color w:val="000033"/>
          <w:sz w:val="24"/>
        </w:rPr>
        <w:t>closed down</w:t>
      </w:r>
      <w:proofErr w:type="gramEnd"/>
      <w:r w:rsidRPr="00187970">
        <w:rPr>
          <w:rFonts w:ascii="Times New Roman" w:hAnsi="Times New Roman" w:cs="Times New Roman"/>
          <w:color w:val="000033"/>
          <w:sz w:val="24"/>
        </w:rPr>
        <w:t xml:space="preserve"> its P2P operations in response to the regulatory crackdown? Isn't this what all Chinese platforms did?</w:t>
      </w:r>
    </w:p>
    <w:p w14:paraId="7A2DAE53" w14:textId="77777777" w:rsidR="00146E69" w:rsidRDefault="00146E69" w:rsidP="00187970">
      <w:pPr>
        <w:rPr>
          <w:rFonts w:ascii="Times New Roman" w:hAnsi="Times New Roman" w:cs="Times New Roman"/>
          <w:color w:val="000033"/>
          <w:sz w:val="24"/>
        </w:rPr>
      </w:pPr>
    </w:p>
    <w:p w14:paraId="79AF049D" w14:textId="77777777" w:rsidR="00090F68" w:rsidRPr="00090F68" w:rsidRDefault="00090F68" w:rsidP="00090F68">
      <w:pPr>
        <w:rPr>
          <w:rFonts w:ascii="Times New Roman" w:hAnsi="Times New Roman" w:cs="Times New Roman"/>
          <w:color w:val="205E9A"/>
          <w:sz w:val="24"/>
        </w:rPr>
      </w:pPr>
      <w:r w:rsidRPr="00090F68">
        <w:rPr>
          <w:rFonts w:ascii="Times New Roman" w:hAnsi="Times New Roman" w:cs="Times New Roman"/>
          <w:color w:val="205E9A"/>
          <w:sz w:val="24"/>
        </w:rPr>
        <w:t xml:space="preserve">We appreciate the reviewer’s question, which raises a broader and important issue regarding the regulatory-driven collapse of China’s P2P sector. As the reviewer rightly points out, </w:t>
      </w:r>
      <w:proofErr w:type="gramStart"/>
      <w:r w:rsidRPr="00090F68">
        <w:rPr>
          <w:rFonts w:ascii="Times New Roman" w:hAnsi="Times New Roman" w:cs="Times New Roman"/>
          <w:color w:val="205E9A"/>
          <w:sz w:val="24"/>
        </w:rPr>
        <w:t>a large number of</w:t>
      </w:r>
      <w:proofErr w:type="gramEnd"/>
      <w:r w:rsidRPr="00090F68">
        <w:rPr>
          <w:rFonts w:ascii="Times New Roman" w:hAnsi="Times New Roman" w:cs="Times New Roman"/>
          <w:color w:val="205E9A"/>
          <w:sz w:val="24"/>
        </w:rPr>
        <w:t xml:space="preserve"> Chinese P2P platforms exited the market in response to </w:t>
      </w:r>
      <w:r w:rsidRPr="00090F68">
        <w:rPr>
          <w:rFonts w:ascii="Times New Roman" w:hAnsi="Times New Roman" w:cs="Times New Roman"/>
          <w:color w:val="205E9A"/>
          <w:sz w:val="24"/>
        </w:rPr>
        <w:lastRenderedPageBreak/>
        <w:t xml:space="preserve">the sweeping regulatory crackdown initiated after 2018. In the case of </w:t>
      </w:r>
      <w:proofErr w:type="spellStart"/>
      <w:r w:rsidRPr="00090F68">
        <w:rPr>
          <w:rFonts w:ascii="Times New Roman" w:hAnsi="Times New Roman" w:cs="Times New Roman"/>
          <w:color w:val="205E9A"/>
          <w:sz w:val="24"/>
        </w:rPr>
        <w:t>Yiren</w:t>
      </w:r>
      <w:proofErr w:type="spellEnd"/>
      <w:r w:rsidRPr="00090F68">
        <w:rPr>
          <w:rFonts w:ascii="Times New Roman" w:hAnsi="Times New Roman" w:cs="Times New Roman"/>
          <w:color w:val="205E9A"/>
          <w:sz w:val="24"/>
        </w:rPr>
        <w:t xml:space="preserve"> Digital, our analysis aims to situate this individual case within that broader trend, while highlighting the combination of internal and external factors that led to its business transformation.</w:t>
      </w:r>
    </w:p>
    <w:p w14:paraId="4A50F252" w14:textId="77777777" w:rsidR="00090F68" w:rsidRPr="00090F68" w:rsidRDefault="00090F68" w:rsidP="00090F68">
      <w:pPr>
        <w:rPr>
          <w:rFonts w:ascii="Times New Roman" w:hAnsi="Times New Roman" w:cs="Times New Roman"/>
          <w:color w:val="205E9A"/>
          <w:sz w:val="24"/>
        </w:rPr>
      </w:pPr>
    </w:p>
    <w:p w14:paraId="1E6D1439" w14:textId="77777777" w:rsidR="00090F68" w:rsidRPr="00090F68" w:rsidRDefault="00090F68" w:rsidP="00090F68">
      <w:pPr>
        <w:rPr>
          <w:rFonts w:ascii="Times New Roman" w:hAnsi="Times New Roman" w:cs="Times New Roman"/>
          <w:color w:val="205E9A"/>
          <w:sz w:val="24"/>
        </w:rPr>
      </w:pPr>
      <w:r w:rsidRPr="00090F68">
        <w:rPr>
          <w:rFonts w:ascii="Times New Roman" w:hAnsi="Times New Roman" w:cs="Times New Roman"/>
          <w:color w:val="205E9A"/>
          <w:sz w:val="24"/>
        </w:rPr>
        <w:t xml:space="preserve">As noted in the manuscript, </w:t>
      </w:r>
      <w:proofErr w:type="spellStart"/>
      <w:r w:rsidRPr="00090F68">
        <w:rPr>
          <w:rFonts w:ascii="Times New Roman" w:hAnsi="Times New Roman" w:cs="Times New Roman"/>
          <w:color w:val="205E9A"/>
          <w:sz w:val="24"/>
        </w:rPr>
        <w:t>Yiren’s</w:t>
      </w:r>
      <w:proofErr w:type="spellEnd"/>
      <w:r w:rsidRPr="00090F68">
        <w:rPr>
          <w:rFonts w:ascii="Times New Roman" w:hAnsi="Times New Roman" w:cs="Times New Roman"/>
          <w:color w:val="205E9A"/>
          <w:sz w:val="24"/>
        </w:rPr>
        <w:t xml:space="preserve"> exit from P2P lending reflects both internal limitations in credit risk management and the introduction of increasingly stringent regulatory frameworks in China, including capital requirements, data transparency rules, and investor protection obligations. These factors rendered the original P2P model unsustainable for many platforms, and in </w:t>
      </w:r>
      <w:proofErr w:type="spellStart"/>
      <w:r w:rsidRPr="00090F68">
        <w:rPr>
          <w:rFonts w:ascii="Times New Roman" w:hAnsi="Times New Roman" w:cs="Times New Roman"/>
          <w:color w:val="205E9A"/>
          <w:sz w:val="24"/>
        </w:rPr>
        <w:t>Yiren’s</w:t>
      </w:r>
      <w:proofErr w:type="spellEnd"/>
      <w:r w:rsidRPr="00090F68">
        <w:rPr>
          <w:rFonts w:ascii="Times New Roman" w:hAnsi="Times New Roman" w:cs="Times New Roman"/>
          <w:color w:val="205E9A"/>
          <w:sz w:val="24"/>
        </w:rPr>
        <w:t xml:space="preserve"> case, triggered a strategic reorientation toward institutional partnerships and wealth management services. Therefore, while </w:t>
      </w:r>
      <w:proofErr w:type="spellStart"/>
      <w:r w:rsidRPr="00090F68">
        <w:rPr>
          <w:rFonts w:ascii="Times New Roman" w:hAnsi="Times New Roman" w:cs="Times New Roman"/>
          <w:color w:val="205E9A"/>
          <w:sz w:val="24"/>
        </w:rPr>
        <w:t>Yiren’s</w:t>
      </w:r>
      <w:proofErr w:type="spellEnd"/>
      <w:r w:rsidRPr="00090F68">
        <w:rPr>
          <w:rFonts w:ascii="Times New Roman" w:hAnsi="Times New Roman" w:cs="Times New Roman"/>
          <w:color w:val="205E9A"/>
          <w:sz w:val="24"/>
        </w:rPr>
        <w:t xml:space="preserve"> path may appear representative of broader market outcomes, we believe that analyzing such a prominent and once-successful platform offers valuable insights into the mechanisms by which regulatory and operational dynamics interacted to drive sectoral transformation.</w:t>
      </w:r>
    </w:p>
    <w:p w14:paraId="59AD9FC7" w14:textId="77777777" w:rsidR="00090F68" w:rsidRPr="00090F68" w:rsidRDefault="00090F68" w:rsidP="00090F68">
      <w:pPr>
        <w:rPr>
          <w:rFonts w:ascii="Times New Roman" w:hAnsi="Times New Roman" w:cs="Times New Roman"/>
          <w:color w:val="205E9A"/>
          <w:sz w:val="24"/>
        </w:rPr>
      </w:pPr>
    </w:p>
    <w:p w14:paraId="582F18E4" w14:textId="74D783A9" w:rsidR="00090F68" w:rsidRPr="00090F68" w:rsidRDefault="00090F68" w:rsidP="00090F68">
      <w:pPr>
        <w:rPr>
          <w:rFonts w:ascii="Times New Roman" w:hAnsi="Times New Roman" w:cs="Times New Roman"/>
          <w:color w:val="205E9A"/>
          <w:sz w:val="24"/>
        </w:rPr>
      </w:pPr>
      <w:r w:rsidRPr="00090F68">
        <w:rPr>
          <w:rFonts w:ascii="Times New Roman" w:hAnsi="Times New Roman" w:cs="Times New Roman"/>
          <w:color w:val="205E9A"/>
          <w:sz w:val="24"/>
        </w:rPr>
        <w:t xml:space="preserve">We hope this clarifies the analytical purpose of including </w:t>
      </w:r>
      <w:proofErr w:type="spellStart"/>
      <w:r w:rsidRPr="00090F68">
        <w:rPr>
          <w:rFonts w:ascii="Times New Roman" w:hAnsi="Times New Roman" w:cs="Times New Roman"/>
          <w:color w:val="205E9A"/>
          <w:sz w:val="24"/>
        </w:rPr>
        <w:t>Yiren</w:t>
      </w:r>
      <w:proofErr w:type="spellEnd"/>
      <w:r w:rsidRPr="00090F68">
        <w:rPr>
          <w:rFonts w:ascii="Times New Roman" w:hAnsi="Times New Roman" w:cs="Times New Roman"/>
          <w:color w:val="205E9A"/>
          <w:sz w:val="24"/>
        </w:rPr>
        <w:t xml:space="preserve"> Digital in the study and affirms its relevance as a representative yet informative case.</w:t>
      </w:r>
    </w:p>
    <w:p w14:paraId="6219E00C" w14:textId="77777777" w:rsidR="00090F68" w:rsidRPr="00187970" w:rsidRDefault="00090F68" w:rsidP="00187970">
      <w:pPr>
        <w:rPr>
          <w:rFonts w:ascii="Times New Roman" w:hAnsi="Times New Roman" w:cs="Times New Roman"/>
          <w:color w:val="000033"/>
          <w:sz w:val="24"/>
        </w:rPr>
      </w:pPr>
    </w:p>
    <w:p w14:paraId="7981C2A8" w14:textId="77777777"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7. Finally, Mintos and </w:t>
      </w:r>
      <w:proofErr w:type="spellStart"/>
      <w:r w:rsidRPr="00187970">
        <w:rPr>
          <w:rFonts w:ascii="Times New Roman" w:hAnsi="Times New Roman" w:cs="Times New Roman"/>
          <w:color w:val="000033"/>
          <w:sz w:val="24"/>
        </w:rPr>
        <w:t>Bondora</w:t>
      </w:r>
      <w:proofErr w:type="spellEnd"/>
      <w:r w:rsidRPr="00187970">
        <w:rPr>
          <w:rFonts w:ascii="Times New Roman" w:hAnsi="Times New Roman" w:cs="Times New Roman"/>
          <w:color w:val="000033"/>
          <w:sz w:val="24"/>
        </w:rPr>
        <w:t xml:space="preserve"> are operating in different Baltic states. How much regulatory overlap and how much diversity? What can we learn from a solitary Indian platform? Is it representative?</w:t>
      </w:r>
    </w:p>
    <w:p w14:paraId="3882A28A" w14:textId="77777777" w:rsidR="00F93007" w:rsidRDefault="00F93007" w:rsidP="00187970">
      <w:pPr>
        <w:rPr>
          <w:rFonts w:ascii="Times New Roman" w:hAnsi="Times New Roman" w:cs="Times New Roman"/>
          <w:color w:val="000033"/>
          <w:sz w:val="24"/>
        </w:rPr>
      </w:pPr>
    </w:p>
    <w:p w14:paraId="0D8C0013"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 xml:space="preserve">We appreciate the reviewer’s attention to the comparative value of regional and national contexts, and we agree that the regulatory heterogeneity across jurisdictions is an important dimension to consider. Regarding Mintos and </w:t>
      </w:r>
      <w:proofErr w:type="spellStart"/>
      <w:r w:rsidRPr="00C0311D">
        <w:rPr>
          <w:rFonts w:ascii="Times New Roman" w:hAnsi="Times New Roman" w:cs="Times New Roman"/>
          <w:color w:val="205E9A"/>
          <w:sz w:val="24"/>
        </w:rPr>
        <w:t>Bondora</w:t>
      </w:r>
      <w:proofErr w:type="spellEnd"/>
      <w:r w:rsidRPr="00C0311D">
        <w:rPr>
          <w:rFonts w:ascii="Times New Roman" w:hAnsi="Times New Roman" w:cs="Times New Roman"/>
          <w:color w:val="205E9A"/>
          <w:sz w:val="24"/>
        </w:rPr>
        <w:t>, while these two platforms are based in different Baltic states—Latvia and Estonia respectively—they are both supervised under the overarching EU regulatory framework, including the Markets in Financial Instruments Directive II (MiFID II). As detailed in Sections 5.6 and 5.7 of the manuscript, both platforms are classified as investment firms and are therefore subject to shared requirements concerning client fund segregation, disclosure standards, AML/KYC obligations, and transparency in reporting. This shared regulatory backbone ensures a high degree of overlap in terms of structural obligations and compliance expectations.</w:t>
      </w:r>
    </w:p>
    <w:p w14:paraId="4EEB9C19" w14:textId="77777777" w:rsidR="00C0311D" w:rsidRPr="00C0311D" w:rsidRDefault="00C0311D" w:rsidP="00C0311D">
      <w:pPr>
        <w:rPr>
          <w:rFonts w:ascii="Times New Roman" w:hAnsi="Times New Roman" w:cs="Times New Roman"/>
          <w:color w:val="205E9A"/>
          <w:sz w:val="24"/>
        </w:rPr>
      </w:pPr>
    </w:p>
    <w:p w14:paraId="3FD051C6"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 xml:space="preserve">At the same time, some diversity remains in the interpretation and enforcement of these EU directives at the national level. For instance, Mintos is supervised by Latvia’s Financial and Capital Market Commission (FKTK), while </w:t>
      </w:r>
      <w:proofErr w:type="spellStart"/>
      <w:r w:rsidRPr="00C0311D">
        <w:rPr>
          <w:rFonts w:ascii="Times New Roman" w:hAnsi="Times New Roman" w:cs="Times New Roman"/>
          <w:color w:val="205E9A"/>
          <w:sz w:val="24"/>
        </w:rPr>
        <w:t>Bondora</w:t>
      </w:r>
      <w:proofErr w:type="spellEnd"/>
      <w:r w:rsidRPr="00C0311D">
        <w:rPr>
          <w:rFonts w:ascii="Times New Roman" w:hAnsi="Times New Roman" w:cs="Times New Roman"/>
          <w:color w:val="205E9A"/>
          <w:sz w:val="24"/>
        </w:rPr>
        <w:t xml:space="preserve"> falls under the Estonian Financial Supervision Authority (EFSA). National supervisors may differ in the frequency and depth of audits, the strictness of implementation timelines, and the degree of alignment with investor expectations. We believe that comparing these two platforms—within a harmonized regulatory framework but with local supervisory discretion—offers meaningful insights into how compliance strategies vary even among nominally similar regulatory contexts.</w:t>
      </w:r>
    </w:p>
    <w:p w14:paraId="35DDDD44" w14:textId="77777777" w:rsidR="00C0311D" w:rsidRPr="00C0311D" w:rsidRDefault="00C0311D" w:rsidP="00C0311D">
      <w:pPr>
        <w:rPr>
          <w:rFonts w:ascii="Times New Roman" w:hAnsi="Times New Roman" w:cs="Times New Roman"/>
          <w:color w:val="205E9A"/>
          <w:sz w:val="24"/>
        </w:rPr>
      </w:pPr>
    </w:p>
    <w:p w14:paraId="1B7E465B"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 xml:space="preserve">Regarding </w:t>
      </w:r>
      <w:proofErr w:type="spellStart"/>
      <w:r w:rsidRPr="00C0311D">
        <w:rPr>
          <w:rFonts w:ascii="Times New Roman" w:hAnsi="Times New Roman" w:cs="Times New Roman"/>
          <w:color w:val="205E9A"/>
          <w:sz w:val="24"/>
        </w:rPr>
        <w:t>Faircent</w:t>
      </w:r>
      <w:proofErr w:type="spellEnd"/>
      <w:r w:rsidRPr="00C0311D">
        <w:rPr>
          <w:rFonts w:ascii="Times New Roman" w:hAnsi="Times New Roman" w:cs="Times New Roman"/>
          <w:color w:val="205E9A"/>
          <w:sz w:val="24"/>
        </w:rPr>
        <w:t xml:space="preserve">, the Indian platform included in our study, we acknowledge that it is the only representative from India in the sample. As noted in the methodology section (Section 3.2), our platform selection aimed to capture a geographically diverse and institutionally significant set of cases that reflect major national markets with distinctive regulatory trajectories. Although </w:t>
      </w:r>
      <w:proofErr w:type="spellStart"/>
      <w:r w:rsidRPr="00C0311D">
        <w:rPr>
          <w:rFonts w:ascii="Times New Roman" w:hAnsi="Times New Roman" w:cs="Times New Roman"/>
          <w:color w:val="205E9A"/>
          <w:sz w:val="24"/>
        </w:rPr>
        <w:t>Faircent</w:t>
      </w:r>
      <w:proofErr w:type="spellEnd"/>
      <w:r w:rsidRPr="00C0311D">
        <w:rPr>
          <w:rFonts w:ascii="Times New Roman" w:hAnsi="Times New Roman" w:cs="Times New Roman"/>
          <w:color w:val="205E9A"/>
          <w:sz w:val="24"/>
        </w:rPr>
        <w:t xml:space="preserve"> is a single case, its inclusion allows us to highlight the structure and effects of India’s unified, top-down regulatory regime for P2P lending—implemented via the Reserve Bank of India’s (RBI) NBFC-P2P licensing framework. In this sense, </w:t>
      </w:r>
      <w:proofErr w:type="spellStart"/>
      <w:r w:rsidRPr="00C0311D">
        <w:rPr>
          <w:rFonts w:ascii="Times New Roman" w:hAnsi="Times New Roman" w:cs="Times New Roman"/>
          <w:color w:val="205E9A"/>
          <w:sz w:val="24"/>
        </w:rPr>
        <w:t>Faircent</w:t>
      </w:r>
      <w:proofErr w:type="spellEnd"/>
      <w:r w:rsidRPr="00C0311D">
        <w:rPr>
          <w:rFonts w:ascii="Times New Roman" w:hAnsi="Times New Roman" w:cs="Times New Roman"/>
          <w:color w:val="205E9A"/>
          <w:sz w:val="24"/>
        </w:rPr>
        <w:t xml:space="preserve"> functions as an illustrative case of how emerging market regulators have imposed strict institutional boundaries and operational norms on P2P platforms, offering a useful contrast with more market-driven and fragmented regulatory approaches in Europe and the U.S.</w:t>
      </w:r>
    </w:p>
    <w:p w14:paraId="565DE3EE" w14:textId="77777777" w:rsidR="00C0311D" w:rsidRPr="00C0311D" w:rsidRDefault="00C0311D" w:rsidP="00C0311D">
      <w:pPr>
        <w:rPr>
          <w:rFonts w:ascii="Times New Roman" w:hAnsi="Times New Roman" w:cs="Times New Roman"/>
          <w:color w:val="205E9A"/>
          <w:sz w:val="24"/>
        </w:rPr>
      </w:pPr>
    </w:p>
    <w:p w14:paraId="1FB4D233" w14:textId="6AFDF740" w:rsidR="00F93007"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We hope this clarification reinforces the rationale for our comparative framework and underlines the value of including platforms from both harmonized regional blocs and centralized regulatory systems.</w:t>
      </w:r>
    </w:p>
    <w:p w14:paraId="32320F7B" w14:textId="77777777" w:rsidR="00146E69" w:rsidRPr="00187970" w:rsidRDefault="00146E69" w:rsidP="00187970">
      <w:pPr>
        <w:rPr>
          <w:rFonts w:ascii="Times New Roman" w:hAnsi="Times New Roman" w:cs="Times New Roman" w:hint="eastAsia"/>
          <w:color w:val="000033"/>
          <w:sz w:val="24"/>
        </w:rPr>
      </w:pPr>
    </w:p>
    <w:p w14:paraId="492FFCB2" w14:textId="0215A1EB" w:rsidR="00187970" w:rsidRDefault="00187970" w:rsidP="00187970">
      <w:pPr>
        <w:rPr>
          <w:rFonts w:ascii="Times New Roman" w:hAnsi="Times New Roman" w:cs="Times New Roman"/>
          <w:color w:val="000033"/>
          <w:sz w:val="24"/>
        </w:rPr>
      </w:pPr>
      <w:r w:rsidRPr="00187970">
        <w:rPr>
          <w:rFonts w:ascii="Times New Roman" w:hAnsi="Times New Roman" w:cs="Times New Roman"/>
          <w:color w:val="000033"/>
          <w:sz w:val="24"/>
        </w:rPr>
        <w:t xml:space="preserve">8. </w:t>
      </w:r>
      <w:proofErr w:type="gramStart"/>
      <w:r w:rsidRPr="00187970">
        <w:rPr>
          <w:rFonts w:ascii="Times New Roman" w:hAnsi="Times New Roman" w:cs="Times New Roman"/>
          <w:color w:val="000033"/>
          <w:sz w:val="24"/>
        </w:rPr>
        <w:t>Overall</w:t>
      </w:r>
      <w:proofErr w:type="gramEnd"/>
      <w:r w:rsidRPr="00187970">
        <w:rPr>
          <w:rFonts w:ascii="Times New Roman" w:hAnsi="Times New Roman" w:cs="Times New Roman"/>
          <w:color w:val="000033"/>
          <w:sz w:val="24"/>
        </w:rPr>
        <w:t xml:space="preserve"> the problem is that we don't really learn anything from these anecdotal examples of individual company responses to diverse regulatory regimes. No causality is identified, apart from perhaps China, where the causality is already well known. If this paper is going to be viable, the platforms should be drawn from a narrower range of jurisdictions, then each jurisdiction's regulation and its goals more clearly mapped, and an attempt made to trace the influence of the regulation on the changes in business models, perhaps from regulatory filings.</w:t>
      </w:r>
    </w:p>
    <w:p w14:paraId="5188C8BF" w14:textId="77777777" w:rsidR="00187970" w:rsidRDefault="00187970" w:rsidP="00187970">
      <w:pPr>
        <w:rPr>
          <w:rFonts w:ascii="Times New Roman" w:hAnsi="Times New Roman" w:cs="Times New Roman"/>
          <w:color w:val="000033"/>
          <w:sz w:val="24"/>
        </w:rPr>
      </w:pPr>
    </w:p>
    <w:p w14:paraId="359D599D"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We appreciate the reviewer’s concerns and the opportunity to clarify our methodological approach and intended contribution. We respectfully note, however, that this paper does not attempt to establish causality in the formal econometric or legal-doctrinal sense. As indicated in Section 3.1 (Methodology), our research design follows a comparative qualitative case study framework. This approach was chosen precisely because the global P2P lending industry—especially over the past decade—has evolved in a fragmented, fast-changing, and jurisdictionally heterogeneous manner, rendering unified datasets or causal identification strategies difficult to implement without sacrificing external validity or contextual nuance.</w:t>
      </w:r>
    </w:p>
    <w:p w14:paraId="7083A84F" w14:textId="77777777" w:rsidR="00C0311D" w:rsidRPr="00C0311D" w:rsidRDefault="00C0311D" w:rsidP="00C0311D">
      <w:pPr>
        <w:rPr>
          <w:rFonts w:ascii="Times New Roman" w:hAnsi="Times New Roman" w:cs="Times New Roman"/>
          <w:color w:val="205E9A"/>
          <w:sz w:val="24"/>
        </w:rPr>
      </w:pPr>
    </w:p>
    <w:p w14:paraId="05DCDB75"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Rather than treating platform cases as isolated anecdotes, we have carefully selected a sample of institutionally significant, geographically diverse, and regulatorily emblematic platforms, as explained in Section 3.2 (Case selection criteria). The goal is not to generalize in a statistical sense, but to offer analytically generalizable insights through pattern comparison across markets. Each platform is embedded within its national (or supranational) regulatory framework, and our goal is to understand how similar pressures have led to divergent responses, or how platform-specific constraints have shaped adaptive pathways in the face of regulation.</w:t>
      </w:r>
    </w:p>
    <w:p w14:paraId="04DBDB9E" w14:textId="77777777" w:rsidR="00C0311D" w:rsidRPr="00C0311D" w:rsidRDefault="00C0311D" w:rsidP="00C0311D">
      <w:pPr>
        <w:rPr>
          <w:rFonts w:ascii="Times New Roman" w:hAnsi="Times New Roman" w:cs="Times New Roman"/>
          <w:color w:val="205E9A"/>
          <w:sz w:val="24"/>
        </w:rPr>
      </w:pPr>
    </w:p>
    <w:p w14:paraId="0184F426"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lastRenderedPageBreak/>
        <w:t xml:space="preserve">We fully agree that in some jurisdictions—particularly China—the link between regulation and platform exit is already well-documented. For that reason, our analysis of </w:t>
      </w:r>
      <w:proofErr w:type="spellStart"/>
      <w:r w:rsidRPr="00C0311D">
        <w:rPr>
          <w:rFonts w:ascii="Times New Roman" w:hAnsi="Times New Roman" w:cs="Times New Roman"/>
          <w:color w:val="205E9A"/>
          <w:sz w:val="24"/>
        </w:rPr>
        <w:t>Yiren</w:t>
      </w:r>
      <w:proofErr w:type="spellEnd"/>
      <w:r w:rsidRPr="00C0311D">
        <w:rPr>
          <w:rFonts w:ascii="Times New Roman" w:hAnsi="Times New Roman" w:cs="Times New Roman"/>
          <w:color w:val="205E9A"/>
          <w:sz w:val="24"/>
        </w:rPr>
        <w:t xml:space="preserve"> Digital explicitly positions it as an illustrative case within a broader sectoral </w:t>
      </w:r>
      <w:proofErr w:type="gramStart"/>
      <w:r w:rsidRPr="00C0311D">
        <w:rPr>
          <w:rFonts w:ascii="Times New Roman" w:hAnsi="Times New Roman" w:cs="Times New Roman"/>
          <w:color w:val="205E9A"/>
          <w:sz w:val="24"/>
        </w:rPr>
        <w:t>collapse, but</w:t>
      </w:r>
      <w:proofErr w:type="gramEnd"/>
      <w:r w:rsidRPr="00C0311D">
        <w:rPr>
          <w:rFonts w:ascii="Times New Roman" w:hAnsi="Times New Roman" w:cs="Times New Roman"/>
          <w:color w:val="205E9A"/>
          <w:sz w:val="24"/>
        </w:rPr>
        <w:t xml:space="preserve"> emphasizes the interaction between internal fragility and external enforcement as a more nuanced explanatory lens. For other jurisdictions, including the United States and the United Kingdom, we argue that regulation played a more modulatory role, interacting with internal factors such as business scale, investor base composition, and product scope.</w:t>
      </w:r>
    </w:p>
    <w:p w14:paraId="64970EAC" w14:textId="77777777" w:rsidR="00C0311D" w:rsidRPr="00C0311D" w:rsidRDefault="00C0311D" w:rsidP="00C0311D">
      <w:pPr>
        <w:rPr>
          <w:rFonts w:ascii="Times New Roman" w:hAnsi="Times New Roman" w:cs="Times New Roman"/>
          <w:color w:val="205E9A"/>
          <w:sz w:val="24"/>
        </w:rPr>
      </w:pPr>
    </w:p>
    <w:p w14:paraId="121AD785"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 xml:space="preserve">In response to earlier reviewer comments (including your own), we have further strengthened this line of analysis by adding a new subsection titled “Cross-platform analysis: interactions between internal strategies and external pressures” within Section 5. This subsection compares pairs of platforms operating under broadly similar regulatory regimes (e.g., </w:t>
      </w:r>
      <w:proofErr w:type="spellStart"/>
      <w:r w:rsidRPr="00C0311D">
        <w:rPr>
          <w:rFonts w:ascii="Times New Roman" w:hAnsi="Times New Roman" w:cs="Times New Roman"/>
          <w:color w:val="205E9A"/>
          <w:sz w:val="24"/>
        </w:rPr>
        <w:t>LendingClub</w:t>
      </w:r>
      <w:proofErr w:type="spellEnd"/>
      <w:r w:rsidRPr="00C0311D">
        <w:rPr>
          <w:rFonts w:ascii="Times New Roman" w:hAnsi="Times New Roman" w:cs="Times New Roman"/>
          <w:color w:val="205E9A"/>
          <w:sz w:val="24"/>
        </w:rPr>
        <w:t xml:space="preserve"> vs. Prosper in the US, Zopa vs. Funding Circle in the UK), and explores why their strategic trajectories diverged despite comparable external pressures. In these cases, we draw on public filings, company statements, press coverage, and secondary academic sources, as appropriate, to explain that the outcomes cannot be solely attributed to regulatory design, but are also shaped by each platform’s internal operational model, capital strategy, and market positioning.</w:t>
      </w:r>
    </w:p>
    <w:p w14:paraId="2ACAD200" w14:textId="77777777" w:rsidR="00C0311D" w:rsidRPr="00C0311D" w:rsidRDefault="00C0311D" w:rsidP="00C0311D">
      <w:pPr>
        <w:rPr>
          <w:rFonts w:ascii="Times New Roman" w:hAnsi="Times New Roman" w:cs="Times New Roman"/>
          <w:color w:val="205E9A"/>
          <w:sz w:val="24"/>
        </w:rPr>
      </w:pPr>
    </w:p>
    <w:p w14:paraId="41E704D2" w14:textId="77777777" w:rsidR="00C0311D"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Regarding the suggestion to focus on a narrower jurisdictional scope with deep regulatory mapping, we respectfully submit that while such a design could offer benefits in analytical depth, it would also limit the comparative value and cross-market relevance that motivated this study. Our aim was to bridge the micro-level institutional case analysis with macro-level sectoral trends by offering a diversity of observed outcomes under different configurations of regulatory and business model pressures. We also believe that capturing this variation across jurisdictions remains crucial at this stage of academic research, particularly given the rapidly changing and still-maturing nature of P2P lending governance worldwide.</w:t>
      </w:r>
    </w:p>
    <w:p w14:paraId="56B0B651" w14:textId="77777777" w:rsidR="00C0311D" w:rsidRPr="00C0311D" w:rsidRDefault="00C0311D" w:rsidP="00C0311D">
      <w:pPr>
        <w:rPr>
          <w:rFonts w:ascii="Times New Roman" w:hAnsi="Times New Roman" w:cs="Times New Roman"/>
          <w:color w:val="205E9A"/>
          <w:sz w:val="24"/>
        </w:rPr>
      </w:pPr>
    </w:p>
    <w:p w14:paraId="5CA1B7C7" w14:textId="544F2CF2" w:rsidR="00187970" w:rsidRPr="00C0311D" w:rsidRDefault="00C0311D" w:rsidP="00C0311D">
      <w:pPr>
        <w:rPr>
          <w:rFonts w:ascii="Times New Roman" w:hAnsi="Times New Roman" w:cs="Times New Roman"/>
          <w:color w:val="205E9A"/>
          <w:sz w:val="24"/>
        </w:rPr>
      </w:pPr>
      <w:r w:rsidRPr="00C0311D">
        <w:rPr>
          <w:rFonts w:ascii="Times New Roman" w:hAnsi="Times New Roman" w:cs="Times New Roman"/>
          <w:color w:val="205E9A"/>
          <w:sz w:val="24"/>
        </w:rPr>
        <w:t>In short, while we do not claim to provide causal inference in the strictest sense, we argue that the comparative evidence presented does allow readers to observe systematic patterns of regulatory interaction and to draw conceptually informed insights about the role of regulation in shaping platform transformation. We hope this clarifies the paper’s position and affirms its contribution within the literature on platform evolution and regulatory adaptation.</w:t>
      </w:r>
    </w:p>
    <w:p w14:paraId="7BC00062" w14:textId="77777777" w:rsidR="00187970" w:rsidRDefault="00187970" w:rsidP="00187970">
      <w:pPr>
        <w:rPr>
          <w:rFonts w:ascii="Times New Roman" w:hAnsi="Times New Roman" w:cs="Times New Roman"/>
          <w:color w:val="000033"/>
          <w:sz w:val="24"/>
        </w:rPr>
      </w:pPr>
    </w:p>
    <w:bookmarkEnd w:id="0"/>
    <w:p w14:paraId="1920E9C8" w14:textId="6B8517DF" w:rsidR="00DA3069" w:rsidRPr="00845583" w:rsidRDefault="00DA3069" w:rsidP="00845583">
      <w:pPr>
        <w:rPr>
          <w:rFonts w:ascii="Times New Roman" w:hAnsi="Times New Roman" w:cs="Times New Roman"/>
          <w:color w:val="215E99"/>
          <w:sz w:val="24"/>
        </w:rPr>
      </w:pPr>
    </w:p>
    <w:sectPr w:rsidR="00DA3069" w:rsidRPr="008455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C2"/>
    <w:rsid w:val="00020AC2"/>
    <w:rsid w:val="00024B6E"/>
    <w:rsid w:val="00090F68"/>
    <w:rsid w:val="000C64B1"/>
    <w:rsid w:val="000D614D"/>
    <w:rsid w:val="0010631D"/>
    <w:rsid w:val="001201E4"/>
    <w:rsid w:val="00130331"/>
    <w:rsid w:val="00145EA7"/>
    <w:rsid w:val="00146E69"/>
    <w:rsid w:val="001831A1"/>
    <w:rsid w:val="00187970"/>
    <w:rsid w:val="001A5D04"/>
    <w:rsid w:val="001C7A3D"/>
    <w:rsid w:val="001E0FBE"/>
    <w:rsid w:val="00225B59"/>
    <w:rsid w:val="002962A6"/>
    <w:rsid w:val="002C0A4A"/>
    <w:rsid w:val="00305C15"/>
    <w:rsid w:val="00317887"/>
    <w:rsid w:val="00330751"/>
    <w:rsid w:val="003B3FBD"/>
    <w:rsid w:val="003C18B4"/>
    <w:rsid w:val="003C3958"/>
    <w:rsid w:val="003F5426"/>
    <w:rsid w:val="00411EFA"/>
    <w:rsid w:val="00453A00"/>
    <w:rsid w:val="004816C9"/>
    <w:rsid w:val="004A093F"/>
    <w:rsid w:val="004B4A17"/>
    <w:rsid w:val="004C3C94"/>
    <w:rsid w:val="004C5D17"/>
    <w:rsid w:val="004E3A99"/>
    <w:rsid w:val="00554613"/>
    <w:rsid w:val="005921F3"/>
    <w:rsid w:val="00610275"/>
    <w:rsid w:val="006D6474"/>
    <w:rsid w:val="00703106"/>
    <w:rsid w:val="00710757"/>
    <w:rsid w:val="00713BDB"/>
    <w:rsid w:val="00745B71"/>
    <w:rsid w:val="007546A2"/>
    <w:rsid w:val="007B4F08"/>
    <w:rsid w:val="007C1B21"/>
    <w:rsid w:val="008124F6"/>
    <w:rsid w:val="00815546"/>
    <w:rsid w:val="00845583"/>
    <w:rsid w:val="00853387"/>
    <w:rsid w:val="00884D08"/>
    <w:rsid w:val="008E2398"/>
    <w:rsid w:val="009040E1"/>
    <w:rsid w:val="009D38F9"/>
    <w:rsid w:val="00A33BBF"/>
    <w:rsid w:val="00A81290"/>
    <w:rsid w:val="00AC104A"/>
    <w:rsid w:val="00AC502B"/>
    <w:rsid w:val="00BA2E76"/>
    <w:rsid w:val="00BA7F58"/>
    <w:rsid w:val="00BB2183"/>
    <w:rsid w:val="00BC00B9"/>
    <w:rsid w:val="00BE157B"/>
    <w:rsid w:val="00C0311D"/>
    <w:rsid w:val="00C04209"/>
    <w:rsid w:val="00C225F1"/>
    <w:rsid w:val="00C54BD0"/>
    <w:rsid w:val="00C658AD"/>
    <w:rsid w:val="00C86DBC"/>
    <w:rsid w:val="00CA313F"/>
    <w:rsid w:val="00CB565C"/>
    <w:rsid w:val="00CC3287"/>
    <w:rsid w:val="00CE1525"/>
    <w:rsid w:val="00CE29E4"/>
    <w:rsid w:val="00D0667D"/>
    <w:rsid w:val="00DA3069"/>
    <w:rsid w:val="00DF46EE"/>
    <w:rsid w:val="00E554FB"/>
    <w:rsid w:val="00E60493"/>
    <w:rsid w:val="00E80C3E"/>
    <w:rsid w:val="00E969BC"/>
    <w:rsid w:val="00EB6A2F"/>
    <w:rsid w:val="00F01248"/>
    <w:rsid w:val="00F112A2"/>
    <w:rsid w:val="00F33D88"/>
    <w:rsid w:val="00F361E0"/>
    <w:rsid w:val="00F37C23"/>
    <w:rsid w:val="00F64C3B"/>
    <w:rsid w:val="00F93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5BB6"/>
  <w15:chartTrackingRefBased/>
  <w15:docId w15:val="{75E3F9C7-409F-EE4A-90F7-AF7B98C3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0A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0A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0A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0A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0A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0A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0A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A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0A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A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0A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0A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0AC2"/>
    <w:rPr>
      <w:rFonts w:cstheme="majorBidi"/>
      <w:color w:val="0F4761" w:themeColor="accent1" w:themeShade="BF"/>
      <w:sz w:val="28"/>
      <w:szCs w:val="28"/>
    </w:rPr>
  </w:style>
  <w:style w:type="character" w:customStyle="1" w:styleId="50">
    <w:name w:val="标题 5 字符"/>
    <w:basedOn w:val="a0"/>
    <w:link w:val="5"/>
    <w:uiPriority w:val="9"/>
    <w:semiHidden/>
    <w:rsid w:val="00020AC2"/>
    <w:rPr>
      <w:rFonts w:cstheme="majorBidi"/>
      <w:color w:val="0F4761" w:themeColor="accent1" w:themeShade="BF"/>
      <w:sz w:val="24"/>
    </w:rPr>
  </w:style>
  <w:style w:type="character" w:customStyle="1" w:styleId="60">
    <w:name w:val="标题 6 字符"/>
    <w:basedOn w:val="a0"/>
    <w:link w:val="6"/>
    <w:uiPriority w:val="9"/>
    <w:semiHidden/>
    <w:rsid w:val="00020AC2"/>
    <w:rPr>
      <w:rFonts w:cstheme="majorBidi"/>
      <w:b/>
      <w:bCs/>
      <w:color w:val="0F4761" w:themeColor="accent1" w:themeShade="BF"/>
    </w:rPr>
  </w:style>
  <w:style w:type="character" w:customStyle="1" w:styleId="70">
    <w:name w:val="标题 7 字符"/>
    <w:basedOn w:val="a0"/>
    <w:link w:val="7"/>
    <w:uiPriority w:val="9"/>
    <w:semiHidden/>
    <w:rsid w:val="00020AC2"/>
    <w:rPr>
      <w:rFonts w:cstheme="majorBidi"/>
      <w:b/>
      <w:bCs/>
      <w:color w:val="595959" w:themeColor="text1" w:themeTint="A6"/>
    </w:rPr>
  </w:style>
  <w:style w:type="character" w:customStyle="1" w:styleId="80">
    <w:name w:val="标题 8 字符"/>
    <w:basedOn w:val="a0"/>
    <w:link w:val="8"/>
    <w:uiPriority w:val="9"/>
    <w:semiHidden/>
    <w:rsid w:val="00020AC2"/>
    <w:rPr>
      <w:rFonts w:cstheme="majorBidi"/>
      <w:color w:val="595959" w:themeColor="text1" w:themeTint="A6"/>
    </w:rPr>
  </w:style>
  <w:style w:type="character" w:customStyle="1" w:styleId="90">
    <w:name w:val="标题 9 字符"/>
    <w:basedOn w:val="a0"/>
    <w:link w:val="9"/>
    <w:uiPriority w:val="9"/>
    <w:semiHidden/>
    <w:rsid w:val="00020AC2"/>
    <w:rPr>
      <w:rFonts w:eastAsiaTheme="majorEastAsia" w:cstheme="majorBidi"/>
      <w:color w:val="595959" w:themeColor="text1" w:themeTint="A6"/>
    </w:rPr>
  </w:style>
  <w:style w:type="paragraph" w:styleId="a3">
    <w:name w:val="Title"/>
    <w:basedOn w:val="a"/>
    <w:next w:val="a"/>
    <w:link w:val="a4"/>
    <w:uiPriority w:val="10"/>
    <w:qFormat/>
    <w:rsid w:val="00020A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A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A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A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AC2"/>
    <w:pPr>
      <w:spacing w:before="160" w:after="160"/>
      <w:jc w:val="center"/>
    </w:pPr>
    <w:rPr>
      <w:i/>
      <w:iCs/>
      <w:color w:val="404040" w:themeColor="text1" w:themeTint="BF"/>
    </w:rPr>
  </w:style>
  <w:style w:type="character" w:customStyle="1" w:styleId="a8">
    <w:name w:val="引用 字符"/>
    <w:basedOn w:val="a0"/>
    <w:link w:val="a7"/>
    <w:uiPriority w:val="29"/>
    <w:rsid w:val="00020AC2"/>
    <w:rPr>
      <w:i/>
      <w:iCs/>
      <w:color w:val="404040" w:themeColor="text1" w:themeTint="BF"/>
    </w:rPr>
  </w:style>
  <w:style w:type="paragraph" w:styleId="a9">
    <w:name w:val="List Paragraph"/>
    <w:basedOn w:val="a"/>
    <w:uiPriority w:val="34"/>
    <w:qFormat/>
    <w:rsid w:val="00020AC2"/>
    <w:pPr>
      <w:ind w:left="720"/>
      <w:contextualSpacing/>
    </w:pPr>
  </w:style>
  <w:style w:type="character" w:styleId="aa">
    <w:name w:val="Intense Emphasis"/>
    <w:basedOn w:val="a0"/>
    <w:uiPriority w:val="21"/>
    <w:qFormat/>
    <w:rsid w:val="00020AC2"/>
    <w:rPr>
      <w:i/>
      <w:iCs/>
      <w:color w:val="0F4761" w:themeColor="accent1" w:themeShade="BF"/>
    </w:rPr>
  </w:style>
  <w:style w:type="paragraph" w:styleId="ab">
    <w:name w:val="Intense Quote"/>
    <w:basedOn w:val="a"/>
    <w:next w:val="a"/>
    <w:link w:val="ac"/>
    <w:uiPriority w:val="30"/>
    <w:qFormat/>
    <w:rsid w:val="00020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0AC2"/>
    <w:rPr>
      <w:i/>
      <w:iCs/>
      <w:color w:val="0F4761" w:themeColor="accent1" w:themeShade="BF"/>
    </w:rPr>
  </w:style>
  <w:style w:type="character" w:styleId="ad">
    <w:name w:val="Intense Reference"/>
    <w:basedOn w:val="a0"/>
    <w:uiPriority w:val="32"/>
    <w:qFormat/>
    <w:rsid w:val="00020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439">
      <w:bodyDiv w:val="1"/>
      <w:marLeft w:val="0"/>
      <w:marRight w:val="0"/>
      <w:marTop w:val="0"/>
      <w:marBottom w:val="0"/>
      <w:divBdr>
        <w:top w:val="none" w:sz="0" w:space="0" w:color="auto"/>
        <w:left w:val="none" w:sz="0" w:space="0" w:color="auto"/>
        <w:bottom w:val="none" w:sz="0" w:space="0" w:color="auto"/>
        <w:right w:val="none" w:sz="0" w:space="0" w:color="auto"/>
      </w:divBdr>
      <w:divsChild>
        <w:div w:id="8859872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258110">
      <w:bodyDiv w:val="1"/>
      <w:marLeft w:val="0"/>
      <w:marRight w:val="0"/>
      <w:marTop w:val="0"/>
      <w:marBottom w:val="0"/>
      <w:divBdr>
        <w:top w:val="none" w:sz="0" w:space="0" w:color="auto"/>
        <w:left w:val="none" w:sz="0" w:space="0" w:color="auto"/>
        <w:bottom w:val="none" w:sz="0" w:space="0" w:color="auto"/>
        <w:right w:val="none" w:sz="0" w:space="0" w:color="auto"/>
      </w:divBdr>
    </w:div>
    <w:div w:id="77941826">
      <w:bodyDiv w:val="1"/>
      <w:marLeft w:val="0"/>
      <w:marRight w:val="0"/>
      <w:marTop w:val="0"/>
      <w:marBottom w:val="0"/>
      <w:divBdr>
        <w:top w:val="none" w:sz="0" w:space="0" w:color="auto"/>
        <w:left w:val="none" w:sz="0" w:space="0" w:color="auto"/>
        <w:bottom w:val="none" w:sz="0" w:space="0" w:color="auto"/>
        <w:right w:val="none" w:sz="0" w:space="0" w:color="auto"/>
      </w:divBdr>
    </w:div>
    <w:div w:id="84612876">
      <w:bodyDiv w:val="1"/>
      <w:marLeft w:val="0"/>
      <w:marRight w:val="0"/>
      <w:marTop w:val="0"/>
      <w:marBottom w:val="0"/>
      <w:divBdr>
        <w:top w:val="none" w:sz="0" w:space="0" w:color="auto"/>
        <w:left w:val="none" w:sz="0" w:space="0" w:color="auto"/>
        <w:bottom w:val="none" w:sz="0" w:space="0" w:color="auto"/>
        <w:right w:val="none" w:sz="0" w:space="0" w:color="auto"/>
      </w:divBdr>
    </w:div>
    <w:div w:id="102892559">
      <w:bodyDiv w:val="1"/>
      <w:marLeft w:val="0"/>
      <w:marRight w:val="0"/>
      <w:marTop w:val="0"/>
      <w:marBottom w:val="0"/>
      <w:divBdr>
        <w:top w:val="none" w:sz="0" w:space="0" w:color="auto"/>
        <w:left w:val="none" w:sz="0" w:space="0" w:color="auto"/>
        <w:bottom w:val="none" w:sz="0" w:space="0" w:color="auto"/>
        <w:right w:val="none" w:sz="0" w:space="0" w:color="auto"/>
      </w:divBdr>
    </w:div>
    <w:div w:id="174347117">
      <w:bodyDiv w:val="1"/>
      <w:marLeft w:val="0"/>
      <w:marRight w:val="0"/>
      <w:marTop w:val="0"/>
      <w:marBottom w:val="0"/>
      <w:divBdr>
        <w:top w:val="none" w:sz="0" w:space="0" w:color="auto"/>
        <w:left w:val="none" w:sz="0" w:space="0" w:color="auto"/>
        <w:bottom w:val="none" w:sz="0" w:space="0" w:color="auto"/>
        <w:right w:val="none" w:sz="0" w:space="0" w:color="auto"/>
      </w:divBdr>
    </w:div>
    <w:div w:id="276641524">
      <w:bodyDiv w:val="1"/>
      <w:marLeft w:val="0"/>
      <w:marRight w:val="0"/>
      <w:marTop w:val="0"/>
      <w:marBottom w:val="0"/>
      <w:divBdr>
        <w:top w:val="none" w:sz="0" w:space="0" w:color="auto"/>
        <w:left w:val="none" w:sz="0" w:space="0" w:color="auto"/>
        <w:bottom w:val="none" w:sz="0" w:space="0" w:color="auto"/>
        <w:right w:val="none" w:sz="0" w:space="0" w:color="auto"/>
      </w:divBdr>
    </w:div>
    <w:div w:id="296226676">
      <w:bodyDiv w:val="1"/>
      <w:marLeft w:val="0"/>
      <w:marRight w:val="0"/>
      <w:marTop w:val="0"/>
      <w:marBottom w:val="0"/>
      <w:divBdr>
        <w:top w:val="none" w:sz="0" w:space="0" w:color="auto"/>
        <w:left w:val="none" w:sz="0" w:space="0" w:color="auto"/>
        <w:bottom w:val="none" w:sz="0" w:space="0" w:color="auto"/>
        <w:right w:val="none" w:sz="0" w:space="0" w:color="auto"/>
      </w:divBdr>
    </w:div>
    <w:div w:id="438720957">
      <w:bodyDiv w:val="1"/>
      <w:marLeft w:val="0"/>
      <w:marRight w:val="0"/>
      <w:marTop w:val="0"/>
      <w:marBottom w:val="0"/>
      <w:divBdr>
        <w:top w:val="none" w:sz="0" w:space="0" w:color="auto"/>
        <w:left w:val="none" w:sz="0" w:space="0" w:color="auto"/>
        <w:bottom w:val="none" w:sz="0" w:space="0" w:color="auto"/>
        <w:right w:val="none" w:sz="0" w:space="0" w:color="auto"/>
      </w:divBdr>
    </w:div>
    <w:div w:id="495994412">
      <w:bodyDiv w:val="1"/>
      <w:marLeft w:val="0"/>
      <w:marRight w:val="0"/>
      <w:marTop w:val="0"/>
      <w:marBottom w:val="0"/>
      <w:divBdr>
        <w:top w:val="none" w:sz="0" w:space="0" w:color="auto"/>
        <w:left w:val="none" w:sz="0" w:space="0" w:color="auto"/>
        <w:bottom w:val="none" w:sz="0" w:space="0" w:color="auto"/>
        <w:right w:val="none" w:sz="0" w:space="0" w:color="auto"/>
      </w:divBdr>
    </w:div>
    <w:div w:id="568615514">
      <w:bodyDiv w:val="1"/>
      <w:marLeft w:val="0"/>
      <w:marRight w:val="0"/>
      <w:marTop w:val="0"/>
      <w:marBottom w:val="0"/>
      <w:divBdr>
        <w:top w:val="none" w:sz="0" w:space="0" w:color="auto"/>
        <w:left w:val="none" w:sz="0" w:space="0" w:color="auto"/>
        <w:bottom w:val="none" w:sz="0" w:space="0" w:color="auto"/>
        <w:right w:val="none" w:sz="0" w:space="0" w:color="auto"/>
      </w:divBdr>
    </w:div>
    <w:div w:id="617640774">
      <w:bodyDiv w:val="1"/>
      <w:marLeft w:val="0"/>
      <w:marRight w:val="0"/>
      <w:marTop w:val="0"/>
      <w:marBottom w:val="0"/>
      <w:divBdr>
        <w:top w:val="none" w:sz="0" w:space="0" w:color="auto"/>
        <w:left w:val="none" w:sz="0" w:space="0" w:color="auto"/>
        <w:bottom w:val="none" w:sz="0" w:space="0" w:color="auto"/>
        <w:right w:val="none" w:sz="0" w:space="0" w:color="auto"/>
      </w:divBdr>
    </w:div>
    <w:div w:id="623391195">
      <w:bodyDiv w:val="1"/>
      <w:marLeft w:val="0"/>
      <w:marRight w:val="0"/>
      <w:marTop w:val="0"/>
      <w:marBottom w:val="0"/>
      <w:divBdr>
        <w:top w:val="none" w:sz="0" w:space="0" w:color="auto"/>
        <w:left w:val="none" w:sz="0" w:space="0" w:color="auto"/>
        <w:bottom w:val="none" w:sz="0" w:space="0" w:color="auto"/>
        <w:right w:val="none" w:sz="0" w:space="0" w:color="auto"/>
      </w:divBdr>
    </w:div>
    <w:div w:id="918368159">
      <w:bodyDiv w:val="1"/>
      <w:marLeft w:val="0"/>
      <w:marRight w:val="0"/>
      <w:marTop w:val="0"/>
      <w:marBottom w:val="0"/>
      <w:divBdr>
        <w:top w:val="none" w:sz="0" w:space="0" w:color="auto"/>
        <w:left w:val="none" w:sz="0" w:space="0" w:color="auto"/>
        <w:bottom w:val="none" w:sz="0" w:space="0" w:color="auto"/>
        <w:right w:val="none" w:sz="0" w:space="0" w:color="auto"/>
      </w:divBdr>
    </w:div>
    <w:div w:id="1038899582">
      <w:bodyDiv w:val="1"/>
      <w:marLeft w:val="0"/>
      <w:marRight w:val="0"/>
      <w:marTop w:val="0"/>
      <w:marBottom w:val="0"/>
      <w:divBdr>
        <w:top w:val="none" w:sz="0" w:space="0" w:color="auto"/>
        <w:left w:val="none" w:sz="0" w:space="0" w:color="auto"/>
        <w:bottom w:val="none" w:sz="0" w:space="0" w:color="auto"/>
        <w:right w:val="none" w:sz="0" w:space="0" w:color="auto"/>
      </w:divBdr>
    </w:div>
    <w:div w:id="1096828014">
      <w:bodyDiv w:val="1"/>
      <w:marLeft w:val="0"/>
      <w:marRight w:val="0"/>
      <w:marTop w:val="0"/>
      <w:marBottom w:val="0"/>
      <w:divBdr>
        <w:top w:val="none" w:sz="0" w:space="0" w:color="auto"/>
        <w:left w:val="none" w:sz="0" w:space="0" w:color="auto"/>
        <w:bottom w:val="none" w:sz="0" w:space="0" w:color="auto"/>
        <w:right w:val="none" w:sz="0" w:space="0" w:color="auto"/>
      </w:divBdr>
    </w:div>
    <w:div w:id="1129860387">
      <w:bodyDiv w:val="1"/>
      <w:marLeft w:val="0"/>
      <w:marRight w:val="0"/>
      <w:marTop w:val="0"/>
      <w:marBottom w:val="0"/>
      <w:divBdr>
        <w:top w:val="none" w:sz="0" w:space="0" w:color="auto"/>
        <w:left w:val="none" w:sz="0" w:space="0" w:color="auto"/>
        <w:bottom w:val="none" w:sz="0" w:space="0" w:color="auto"/>
        <w:right w:val="none" w:sz="0" w:space="0" w:color="auto"/>
      </w:divBdr>
    </w:div>
    <w:div w:id="1165051436">
      <w:bodyDiv w:val="1"/>
      <w:marLeft w:val="0"/>
      <w:marRight w:val="0"/>
      <w:marTop w:val="0"/>
      <w:marBottom w:val="0"/>
      <w:divBdr>
        <w:top w:val="none" w:sz="0" w:space="0" w:color="auto"/>
        <w:left w:val="none" w:sz="0" w:space="0" w:color="auto"/>
        <w:bottom w:val="none" w:sz="0" w:space="0" w:color="auto"/>
        <w:right w:val="none" w:sz="0" w:space="0" w:color="auto"/>
      </w:divBdr>
    </w:div>
    <w:div w:id="1170873881">
      <w:bodyDiv w:val="1"/>
      <w:marLeft w:val="0"/>
      <w:marRight w:val="0"/>
      <w:marTop w:val="0"/>
      <w:marBottom w:val="0"/>
      <w:divBdr>
        <w:top w:val="none" w:sz="0" w:space="0" w:color="auto"/>
        <w:left w:val="none" w:sz="0" w:space="0" w:color="auto"/>
        <w:bottom w:val="none" w:sz="0" w:space="0" w:color="auto"/>
        <w:right w:val="none" w:sz="0" w:space="0" w:color="auto"/>
      </w:divBdr>
    </w:div>
    <w:div w:id="1304196492">
      <w:bodyDiv w:val="1"/>
      <w:marLeft w:val="0"/>
      <w:marRight w:val="0"/>
      <w:marTop w:val="0"/>
      <w:marBottom w:val="0"/>
      <w:divBdr>
        <w:top w:val="none" w:sz="0" w:space="0" w:color="auto"/>
        <w:left w:val="none" w:sz="0" w:space="0" w:color="auto"/>
        <w:bottom w:val="none" w:sz="0" w:space="0" w:color="auto"/>
        <w:right w:val="none" w:sz="0" w:space="0" w:color="auto"/>
      </w:divBdr>
    </w:div>
    <w:div w:id="1379551833">
      <w:bodyDiv w:val="1"/>
      <w:marLeft w:val="0"/>
      <w:marRight w:val="0"/>
      <w:marTop w:val="0"/>
      <w:marBottom w:val="0"/>
      <w:divBdr>
        <w:top w:val="none" w:sz="0" w:space="0" w:color="auto"/>
        <w:left w:val="none" w:sz="0" w:space="0" w:color="auto"/>
        <w:bottom w:val="none" w:sz="0" w:space="0" w:color="auto"/>
        <w:right w:val="none" w:sz="0" w:space="0" w:color="auto"/>
      </w:divBdr>
    </w:div>
    <w:div w:id="1594704189">
      <w:bodyDiv w:val="1"/>
      <w:marLeft w:val="0"/>
      <w:marRight w:val="0"/>
      <w:marTop w:val="0"/>
      <w:marBottom w:val="0"/>
      <w:divBdr>
        <w:top w:val="none" w:sz="0" w:space="0" w:color="auto"/>
        <w:left w:val="none" w:sz="0" w:space="0" w:color="auto"/>
        <w:bottom w:val="none" w:sz="0" w:space="0" w:color="auto"/>
        <w:right w:val="none" w:sz="0" w:space="0" w:color="auto"/>
      </w:divBdr>
    </w:div>
    <w:div w:id="1633486495">
      <w:bodyDiv w:val="1"/>
      <w:marLeft w:val="0"/>
      <w:marRight w:val="0"/>
      <w:marTop w:val="0"/>
      <w:marBottom w:val="0"/>
      <w:divBdr>
        <w:top w:val="none" w:sz="0" w:space="0" w:color="auto"/>
        <w:left w:val="none" w:sz="0" w:space="0" w:color="auto"/>
        <w:bottom w:val="none" w:sz="0" w:space="0" w:color="auto"/>
        <w:right w:val="none" w:sz="0" w:space="0" w:color="auto"/>
      </w:divBdr>
    </w:div>
    <w:div w:id="1666860922">
      <w:bodyDiv w:val="1"/>
      <w:marLeft w:val="0"/>
      <w:marRight w:val="0"/>
      <w:marTop w:val="0"/>
      <w:marBottom w:val="0"/>
      <w:divBdr>
        <w:top w:val="none" w:sz="0" w:space="0" w:color="auto"/>
        <w:left w:val="none" w:sz="0" w:space="0" w:color="auto"/>
        <w:bottom w:val="none" w:sz="0" w:space="0" w:color="auto"/>
        <w:right w:val="none" w:sz="0" w:space="0" w:color="auto"/>
      </w:divBdr>
    </w:div>
    <w:div w:id="1672878169">
      <w:bodyDiv w:val="1"/>
      <w:marLeft w:val="0"/>
      <w:marRight w:val="0"/>
      <w:marTop w:val="0"/>
      <w:marBottom w:val="0"/>
      <w:divBdr>
        <w:top w:val="none" w:sz="0" w:space="0" w:color="auto"/>
        <w:left w:val="none" w:sz="0" w:space="0" w:color="auto"/>
        <w:bottom w:val="none" w:sz="0" w:space="0" w:color="auto"/>
        <w:right w:val="none" w:sz="0" w:space="0" w:color="auto"/>
      </w:divBdr>
    </w:div>
    <w:div w:id="1721899972">
      <w:bodyDiv w:val="1"/>
      <w:marLeft w:val="0"/>
      <w:marRight w:val="0"/>
      <w:marTop w:val="0"/>
      <w:marBottom w:val="0"/>
      <w:divBdr>
        <w:top w:val="none" w:sz="0" w:space="0" w:color="auto"/>
        <w:left w:val="none" w:sz="0" w:space="0" w:color="auto"/>
        <w:bottom w:val="none" w:sz="0" w:space="0" w:color="auto"/>
        <w:right w:val="none" w:sz="0" w:space="0" w:color="auto"/>
      </w:divBdr>
    </w:div>
    <w:div w:id="1881895832">
      <w:bodyDiv w:val="1"/>
      <w:marLeft w:val="0"/>
      <w:marRight w:val="0"/>
      <w:marTop w:val="0"/>
      <w:marBottom w:val="0"/>
      <w:divBdr>
        <w:top w:val="none" w:sz="0" w:space="0" w:color="auto"/>
        <w:left w:val="none" w:sz="0" w:space="0" w:color="auto"/>
        <w:bottom w:val="none" w:sz="0" w:space="0" w:color="auto"/>
        <w:right w:val="none" w:sz="0" w:space="0" w:color="auto"/>
      </w:divBdr>
    </w:div>
    <w:div w:id="1885289169">
      <w:bodyDiv w:val="1"/>
      <w:marLeft w:val="0"/>
      <w:marRight w:val="0"/>
      <w:marTop w:val="0"/>
      <w:marBottom w:val="0"/>
      <w:divBdr>
        <w:top w:val="none" w:sz="0" w:space="0" w:color="auto"/>
        <w:left w:val="none" w:sz="0" w:space="0" w:color="auto"/>
        <w:bottom w:val="none" w:sz="0" w:space="0" w:color="auto"/>
        <w:right w:val="none" w:sz="0" w:space="0" w:color="auto"/>
      </w:divBdr>
    </w:div>
    <w:div w:id="1934897917">
      <w:bodyDiv w:val="1"/>
      <w:marLeft w:val="0"/>
      <w:marRight w:val="0"/>
      <w:marTop w:val="0"/>
      <w:marBottom w:val="0"/>
      <w:divBdr>
        <w:top w:val="none" w:sz="0" w:space="0" w:color="auto"/>
        <w:left w:val="none" w:sz="0" w:space="0" w:color="auto"/>
        <w:bottom w:val="none" w:sz="0" w:space="0" w:color="auto"/>
        <w:right w:val="none" w:sz="0" w:space="0" w:color="auto"/>
      </w:divBdr>
    </w:div>
    <w:div w:id="1959291634">
      <w:bodyDiv w:val="1"/>
      <w:marLeft w:val="0"/>
      <w:marRight w:val="0"/>
      <w:marTop w:val="0"/>
      <w:marBottom w:val="0"/>
      <w:divBdr>
        <w:top w:val="none" w:sz="0" w:space="0" w:color="auto"/>
        <w:left w:val="none" w:sz="0" w:space="0" w:color="auto"/>
        <w:bottom w:val="none" w:sz="0" w:space="0" w:color="auto"/>
        <w:right w:val="none" w:sz="0" w:space="0" w:color="auto"/>
      </w:divBdr>
    </w:div>
    <w:div w:id="1988775888">
      <w:bodyDiv w:val="1"/>
      <w:marLeft w:val="0"/>
      <w:marRight w:val="0"/>
      <w:marTop w:val="0"/>
      <w:marBottom w:val="0"/>
      <w:divBdr>
        <w:top w:val="none" w:sz="0" w:space="0" w:color="auto"/>
        <w:left w:val="none" w:sz="0" w:space="0" w:color="auto"/>
        <w:bottom w:val="none" w:sz="0" w:space="0" w:color="auto"/>
        <w:right w:val="none" w:sz="0" w:space="0" w:color="auto"/>
      </w:divBdr>
    </w:div>
    <w:div w:id="2005665849">
      <w:bodyDiv w:val="1"/>
      <w:marLeft w:val="0"/>
      <w:marRight w:val="0"/>
      <w:marTop w:val="0"/>
      <w:marBottom w:val="0"/>
      <w:divBdr>
        <w:top w:val="none" w:sz="0" w:space="0" w:color="auto"/>
        <w:left w:val="none" w:sz="0" w:space="0" w:color="auto"/>
        <w:bottom w:val="none" w:sz="0" w:space="0" w:color="auto"/>
        <w:right w:val="none" w:sz="0" w:space="0" w:color="auto"/>
      </w:divBdr>
    </w:div>
    <w:div w:id="2009286250">
      <w:bodyDiv w:val="1"/>
      <w:marLeft w:val="0"/>
      <w:marRight w:val="0"/>
      <w:marTop w:val="0"/>
      <w:marBottom w:val="0"/>
      <w:divBdr>
        <w:top w:val="none" w:sz="0" w:space="0" w:color="auto"/>
        <w:left w:val="none" w:sz="0" w:space="0" w:color="auto"/>
        <w:bottom w:val="none" w:sz="0" w:space="0" w:color="auto"/>
        <w:right w:val="none" w:sz="0" w:space="0" w:color="auto"/>
      </w:divBdr>
    </w:div>
    <w:div w:id="2025553782">
      <w:bodyDiv w:val="1"/>
      <w:marLeft w:val="0"/>
      <w:marRight w:val="0"/>
      <w:marTop w:val="0"/>
      <w:marBottom w:val="0"/>
      <w:divBdr>
        <w:top w:val="none" w:sz="0" w:space="0" w:color="auto"/>
        <w:left w:val="none" w:sz="0" w:space="0" w:color="auto"/>
        <w:bottom w:val="none" w:sz="0" w:space="0" w:color="auto"/>
        <w:right w:val="none" w:sz="0" w:space="0" w:color="auto"/>
      </w:divBdr>
    </w:div>
    <w:div w:id="2083409577">
      <w:bodyDiv w:val="1"/>
      <w:marLeft w:val="0"/>
      <w:marRight w:val="0"/>
      <w:marTop w:val="0"/>
      <w:marBottom w:val="0"/>
      <w:divBdr>
        <w:top w:val="none" w:sz="0" w:space="0" w:color="auto"/>
        <w:left w:val="none" w:sz="0" w:space="0" w:color="auto"/>
        <w:bottom w:val="none" w:sz="0" w:space="0" w:color="auto"/>
        <w:right w:val="none" w:sz="0" w:space="0" w:color="auto"/>
      </w:divBdr>
    </w:div>
    <w:div w:id="212595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14</Pages>
  <Words>4897</Words>
  <Characters>27918</Characters>
  <Application>Microsoft Office Word</Application>
  <DocSecurity>0</DocSecurity>
  <Lines>232</Lines>
  <Paragraphs>65</Paragraphs>
  <ScaleCrop>false</ScaleCrop>
  <Company/>
  <LinksUpToDate>false</LinksUpToDate>
  <CharactersWithSpaces>32750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Yiting</dc:creator>
  <cp:keywords/>
  <dc:description/>
  <cp:lastModifiedBy>Liu Yiting</cp:lastModifiedBy>
  <cp:revision>108</cp:revision>
  <dcterms:created xsi:type="dcterms:W3CDTF">2025-06-22T12:33:00Z</dcterms:created>
  <dcterms:modified xsi:type="dcterms:W3CDTF">2025-09-07T19:19:00Z</dcterms:modified>
</cp:coreProperties>
</file>