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3124" w14:textId="570ADF1D" w:rsidR="006D6474" w:rsidRPr="006D6474" w:rsidRDefault="006D6474" w:rsidP="006D6474">
      <w:pPr>
        <w:rPr>
          <w:rFonts w:ascii="Times New Roman" w:hAnsi="Times New Roman" w:cs="Times New Roman"/>
          <w:color w:val="000033"/>
          <w:shd w:val="clear" w:color="auto" w:fill="FFFFFF"/>
        </w:rPr>
      </w:pPr>
      <w:bookmarkStart w:id="0" w:name="OLE_LINK1"/>
      <w:r w:rsidRPr="006D6474">
        <w:rPr>
          <w:rFonts w:ascii="Times New Roman" w:hAnsi="Times New Roman" w:cs="Times New Roman"/>
          <w:color w:val="000033"/>
          <w:shd w:val="clear" w:color="auto" w:fill="FFFFFF"/>
        </w:rPr>
        <w:t xml:space="preserve">Dear </w:t>
      </w:r>
      <w:r>
        <w:rPr>
          <w:rFonts w:ascii="Times New Roman" w:hAnsi="Times New Roman" w:cs="Times New Roman"/>
          <w:color w:val="212121"/>
          <w:sz w:val="22"/>
          <w:szCs w:val="22"/>
        </w:rPr>
        <w:t>Gang Kou, PhD</w:t>
      </w:r>
      <w:r w:rsidRPr="006D6474">
        <w:rPr>
          <w:rFonts w:ascii="Times New Roman" w:hAnsi="Times New Roman" w:cs="Times New Roman"/>
          <w:color w:val="000033"/>
          <w:shd w:val="clear" w:color="auto" w:fill="FFFFFF"/>
        </w:rPr>
        <w:t>,</w:t>
      </w:r>
    </w:p>
    <w:p w14:paraId="23650028" w14:textId="77777777" w:rsidR="006D6474" w:rsidRPr="006D6474" w:rsidRDefault="006D6474" w:rsidP="006D6474">
      <w:pPr>
        <w:rPr>
          <w:rFonts w:ascii="Times New Roman" w:hAnsi="Times New Roman" w:cs="Times New Roman"/>
          <w:color w:val="000033"/>
          <w:shd w:val="clear" w:color="auto" w:fill="FFFFFF"/>
        </w:rPr>
      </w:pPr>
    </w:p>
    <w:p w14:paraId="6E42E43F" w14:textId="751537B4" w:rsidR="009F7DB7" w:rsidRPr="009F7DB7" w:rsidRDefault="009F7DB7" w:rsidP="009F7DB7">
      <w:pPr>
        <w:rPr>
          <w:rFonts w:ascii="Times New Roman" w:hAnsi="Times New Roman" w:cs="Times New Roman"/>
          <w:color w:val="000033"/>
          <w:shd w:val="clear" w:color="auto" w:fill="FFFFFF"/>
        </w:rPr>
      </w:pPr>
      <w:r w:rsidRPr="009F7DB7">
        <w:rPr>
          <w:rFonts w:ascii="Times New Roman" w:hAnsi="Times New Roman" w:cs="Times New Roman"/>
          <w:color w:val="000033"/>
          <w:shd w:val="clear" w:color="auto" w:fill="FFFFFF"/>
        </w:rPr>
        <w:t>We would like to thank you once again for the opportunity to revise and resubmit our manuscript, “Why Are Global P2P Lending Platforms Transforming Their Business Models? A Comparative Analysis of Risks and Regulations” (Manuscript ID: FINI-D-25-00592R3). We are very grateful to the reviewers for their continued engagement and constructive feedback during this third round of review.</w:t>
      </w:r>
    </w:p>
    <w:p w14:paraId="173B4910" w14:textId="77777777" w:rsidR="009F7DB7" w:rsidRPr="009F7DB7" w:rsidRDefault="009F7DB7" w:rsidP="009F7DB7">
      <w:pPr>
        <w:rPr>
          <w:rFonts w:ascii="Times New Roman" w:hAnsi="Times New Roman" w:cs="Times New Roman"/>
          <w:color w:val="000033"/>
          <w:shd w:val="clear" w:color="auto" w:fill="FFFFFF"/>
        </w:rPr>
      </w:pPr>
    </w:p>
    <w:p w14:paraId="586EAE2C" w14:textId="3838AF4B" w:rsidR="009F7DB7" w:rsidRPr="009F7DB7" w:rsidRDefault="009F7DB7" w:rsidP="009F7DB7">
      <w:pPr>
        <w:rPr>
          <w:rFonts w:ascii="Times New Roman" w:hAnsi="Times New Roman" w:cs="Times New Roman"/>
          <w:color w:val="000033"/>
          <w:shd w:val="clear" w:color="auto" w:fill="FFFFFF"/>
        </w:rPr>
      </w:pPr>
      <w:r w:rsidRPr="009F7DB7">
        <w:rPr>
          <w:rFonts w:ascii="Times New Roman" w:hAnsi="Times New Roman" w:cs="Times New Roman"/>
          <w:color w:val="000033"/>
          <w:shd w:val="clear" w:color="auto" w:fill="FFFFFF"/>
        </w:rPr>
        <w:t>In this revision, we have carefully addressed the new comments from Reviewer #</w:t>
      </w:r>
      <w:r>
        <w:rPr>
          <w:rFonts w:ascii="Times New Roman" w:hAnsi="Times New Roman" w:cs="Times New Roman"/>
          <w:color w:val="000033"/>
          <w:shd w:val="clear" w:color="auto" w:fill="FFFFFF"/>
        </w:rPr>
        <w:t>5</w:t>
      </w:r>
      <w:r w:rsidRPr="009F7DB7">
        <w:rPr>
          <w:rFonts w:ascii="Times New Roman" w:hAnsi="Times New Roman" w:cs="Times New Roman"/>
          <w:color w:val="000033"/>
          <w:shd w:val="clear" w:color="auto" w:fill="FFFFFF"/>
        </w:rPr>
        <w:t xml:space="preserve"> and Reviewer #</w:t>
      </w:r>
      <w:r>
        <w:rPr>
          <w:rFonts w:ascii="Times New Roman" w:hAnsi="Times New Roman" w:cs="Times New Roman"/>
          <w:color w:val="000033"/>
          <w:shd w:val="clear" w:color="auto" w:fill="FFFFFF"/>
        </w:rPr>
        <w:t>6</w:t>
      </w:r>
      <w:r w:rsidRPr="009F7DB7">
        <w:rPr>
          <w:rFonts w:ascii="Times New Roman" w:hAnsi="Times New Roman" w:cs="Times New Roman"/>
          <w:color w:val="000033"/>
          <w:shd w:val="clear" w:color="auto" w:fill="FFFFFF"/>
        </w:rPr>
        <w:t xml:space="preserve">. </w:t>
      </w:r>
      <w:r>
        <w:rPr>
          <w:rFonts w:ascii="Times New Roman" w:hAnsi="Times New Roman" w:cs="Times New Roman"/>
          <w:color w:val="000033"/>
          <w:shd w:val="clear" w:color="auto" w:fill="FFFFFF"/>
        </w:rPr>
        <w:t>W</w:t>
      </w:r>
      <w:r w:rsidRPr="009F7DB7">
        <w:rPr>
          <w:rFonts w:ascii="Times New Roman" w:hAnsi="Times New Roman" w:cs="Times New Roman"/>
          <w:color w:val="000033"/>
          <w:shd w:val="clear" w:color="auto" w:fill="FFFFFF"/>
        </w:rPr>
        <w:t xml:space="preserve">e have made several important clarifications to enhance the theoretical positioning, case selection logic, and the interpretation of regulatory impacts. </w:t>
      </w:r>
      <w:proofErr w:type="gramStart"/>
      <w:r w:rsidRPr="009F7DB7">
        <w:rPr>
          <w:rFonts w:ascii="Times New Roman" w:hAnsi="Times New Roman" w:cs="Times New Roman"/>
          <w:color w:val="000033"/>
          <w:shd w:val="clear" w:color="auto" w:fill="FFFFFF"/>
        </w:rPr>
        <w:t>In particular, we</w:t>
      </w:r>
      <w:proofErr w:type="gramEnd"/>
      <w:r w:rsidRPr="009F7DB7">
        <w:rPr>
          <w:rFonts w:ascii="Times New Roman" w:hAnsi="Times New Roman" w:cs="Times New Roman"/>
          <w:color w:val="000033"/>
          <w:shd w:val="clear" w:color="auto" w:fill="FFFFFF"/>
        </w:rPr>
        <w:t xml:space="preserve"> clarified the scope and limitations of secondary data use, elaborated on the interaction between internal platform strategies and external pressures, and refined the discussion of platform divergence in Section 6. We also revised our language to avoid unsupported generalizations and ensured that key claims</w:t>
      </w:r>
      <w:r>
        <w:rPr>
          <w:rFonts w:ascii="Times New Roman" w:hAnsi="Times New Roman" w:cs="Times New Roman"/>
          <w:color w:val="000033"/>
          <w:shd w:val="clear" w:color="auto" w:fill="FFFFFF"/>
        </w:rPr>
        <w:t xml:space="preserve">, </w:t>
      </w:r>
      <w:r w:rsidRPr="009F7DB7">
        <w:rPr>
          <w:rFonts w:ascii="Times New Roman" w:hAnsi="Times New Roman" w:cs="Times New Roman"/>
          <w:color w:val="000033"/>
          <w:shd w:val="clear" w:color="auto" w:fill="FFFFFF"/>
        </w:rPr>
        <w:t>such as those regarding the scale of industry transformation</w:t>
      </w:r>
      <w:r>
        <w:rPr>
          <w:rFonts w:ascii="Times New Roman" w:hAnsi="Times New Roman" w:cs="Times New Roman"/>
          <w:color w:val="000033"/>
          <w:shd w:val="clear" w:color="auto" w:fill="FFFFFF"/>
        </w:rPr>
        <w:t xml:space="preserve">, </w:t>
      </w:r>
      <w:r w:rsidRPr="009F7DB7">
        <w:rPr>
          <w:rFonts w:ascii="Times New Roman" w:hAnsi="Times New Roman" w:cs="Times New Roman"/>
          <w:color w:val="000033"/>
          <w:shd w:val="clear" w:color="auto" w:fill="FFFFFF"/>
        </w:rPr>
        <w:t>are substantiated with representative examples.</w:t>
      </w:r>
    </w:p>
    <w:p w14:paraId="291CB324" w14:textId="77777777" w:rsidR="009F7DB7" w:rsidRPr="009F7DB7" w:rsidRDefault="009F7DB7" w:rsidP="009F7DB7">
      <w:pPr>
        <w:rPr>
          <w:rFonts w:ascii="Times New Roman" w:hAnsi="Times New Roman" w:cs="Times New Roman"/>
          <w:color w:val="000033"/>
          <w:shd w:val="clear" w:color="auto" w:fill="FFFFFF"/>
        </w:rPr>
      </w:pPr>
    </w:p>
    <w:p w14:paraId="4D1127CC" w14:textId="77777777" w:rsidR="009F7DB7" w:rsidRPr="009F7DB7" w:rsidRDefault="009F7DB7" w:rsidP="009F7DB7">
      <w:pPr>
        <w:rPr>
          <w:rFonts w:ascii="Times New Roman" w:hAnsi="Times New Roman" w:cs="Times New Roman"/>
          <w:color w:val="000033"/>
          <w:shd w:val="clear" w:color="auto" w:fill="FFFFFF"/>
        </w:rPr>
      </w:pPr>
      <w:r w:rsidRPr="009F7DB7">
        <w:rPr>
          <w:rFonts w:ascii="Times New Roman" w:hAnsi="Times New Roman" w:cs="Times New Roman"/>
          <w:color w:val="000033"/>
          <w:shd w:val="clear" w:color="auto" w:fill="FFFFFF"/>
        </w:rPr>
        <w:t>We have detailed our responses in the accompanying point-by-point reply, and hope that this version of the manuscript adequately addresses the remaining concerns. We appreciate the opportunity to further improve the paper and would be happy to provide any additional information if needed.</w:t>
      </w:r>
    </w:p>
    <w:p w14:paraId="41187C5E" w14:textId="77777777" w:rsidR="00610275" w:rsidRPr="009F7DB7" w:rsidRDefault="00610275" w:rsidP="00610275">
      <w:pPr>
        <w:rPr>
          <w:rFonts w:ascii="Times New Roman" w:hAnsi="Times New Roman" w:cs="Times New Roman"/>
          <w:color w:val="000033"/>
          <w:shd w:val="clear" w:color="auto" w:fill="FFFFFF"/>
        </w:rPr>
      </w:pPr>
    </w:p>
    <w:p w14:paraId="1B5F9CF6" w14:textId="636800EE" w:rsidR="006D6474" w:rsidRDefault="00610275" w:rsidP="00610275">
      <w:pPr>
        <w:rPr>
          <w:rFonts w:ascii="Times New Roman" w:hAnsi="Times New Roman" w:cs="Times New Roman"/>
          <w:color w:val="000033"/>
          <w:shd w:val="clear" w:color="auto" w:fill="FFFFFF"/>
        </w:rPr>
      </w:pPr>
      <w:r w:rsidRPr="00610275">
        <w:rPr>
          <w:rFonts w:ascii="Times New Roman" w:hAnsi="Times New Roman" w:cs="Times New Roman"/>
          <w:color w:val="000033"/>
          <w:shd w:val="clear" w:color="auto" w:fill="FFFFFF"/>
        </w:rPr>
        <w:t>Thank you again for your consideration.</w:t>
      </w:r>
    </w:p>
    <w:p w14:paraId="0A33599B" w14:textId="77777777" w:rsidR="00610275" w:rsidRPr="00610275" w:rsidRDefault="00610275" w:rsidP="00610275">
      <w:pPr>
        <w:rPr>
          <w:rFonts w:ascii="Times New Roman" w:hAnsi="Times New Roman" w:cs="Times New Roman"/>
          <w:color w:val="000033"/>
          <w:shd w:val="clear" w:color="auto" w:fill="FFFFFF"/>
        </w:rPr>
      </w:pPr>
    </w:p>
    <w:p w14:paraId="3E1547C8" w14:textId="77777777" w:rsidR="006D6474" w:rsidRPr="006D6474" w:rsidRDefault="006D6474" w:rsidP="006D6474">
      <w:pPr>
        <w:rPr>
          <w:rFonts w:ascii="Times New Roman" w:hAnsi="Times New Roman" w:cs="Times New Roman"/>
          <w:color w:val="000033"/>
          <w:shd w:val="clear" w:color="auto" w:fill="FFFFFF"/>
        </w:rPr>
      </w:pPr>
      <w:r w:rsidRPr="006D6474">
        <w:rPr>
          <w:rFonts w:ascii="Times New Roman" w:hAnsi="Times New Roman" w:cs="Times New Roman"/>
          <w:color w:val="000033"/>
          <w:shd w:val="clear" w:color="auto" w:fill="FFFFFF"/>
        </w:rPr>
        <w:t>Sincerely,</w:t>
      </w:r>
    </w:p>
    <w:p w14:paraId="516FA942" w14:textId="28578C99" w:rsidR="006D6474" w:rsidRPr="006D6474" w:rsidRDefault="006D6474" w:rsidP="006D6474">
      <w:pPr>
        <w:rPr>
          <w:rFonts w:ascii="Times New Roman" w:hAnsi="Times New Roman" w:cs="Times New Roman"/>
          <w:color w:val="000033"/>
          <w:shd w:val="clear" w:color="auto" w:fill="FFFFFF"/>
        </w:rPr>
      </w:pPr>
      <w:r>
        <w:rPr>
          <w:rFonts w:ascii="Times New Roman" w:hAnsi="Times New Roman" w:cs="Times New Roman"/>
          <w:color w:val="000033"/>
          <w:shd w:val="clear" w:color="auto" w:fill="FFFFFF"/>
        </w:rPr>
        <w:t>Yiting Liu</w:t>
      </w:r>
    </w:p>
    <w:p w14:paraId="7285E9D2" w14:textId="43BD2E81" w:rsidR="00CB565C" w:rsidRPr="006D6474" w:rsidRDefault="006D6474" w:rsidP="006D6474">
      <w:pPr>
        <w:rPr>
          <w:rFonts w:ascii="Times New Roman" w:hAnsi="Times New Roman" w:cs="Times New Roman"/>
          <w:color w:val="000033"/>
          <w:shd w:val="clear" w:color="auto" w:fill="FFFFFF"/>
        </w:rPr>
      </w:pPr>
      <w:r w:rsidRPr="006D6474">
        <w:rPr>
          <w:rFonts w:ascii="Times New Roman" w:hAnsi="Times New Roman" w:cs="Times New Roman"/>
          <w:color w:val="000033"/>
          <w:shd w:val="clear" w:color="auto" w:fill="FFFFFF"/>
        </w:rPr>
        <w:t>(On behalf of all co-authors)</w:t>
      </w:r>
    </w:p>
    <w:p w14:paraId="3390B8E6" w14:textId="77777777" w:rsidR="00CB565C" w:rsidRDefault="00CB565C">
      <w:pPr>
        <w:rPr>
          <w:rFonts w:ascii="Times New Roman" w:hAnsi="Times New Roman" w:cs="Times New Roman"/>
          <w:color w:val="000033"/>
          <w:shd w:val="clear" w:color="auto" w:fill="FFFFFF"/>
        </w:rPr>
      </w:pPr>
    </w:p>
    <w:p w14:paraId="1EB96EA2" w14:textId="77777777" w:rsidR="00CB565C" w:rsidRDefault="00CB565C">
      <w:pPr>
        <w:rPr>
          <w:rFonts w:ascii="Times New Roman" w:hAnsi="Times New Roman" w:cs="Times New Roman"/>
          <w:color w:val="000033"/>
          <w:shd w:val="clear" w:color="auto" w:fill="FFFFFF"/>
        </w:rPr>
      </w:pPr>
    </w:p>
    <w:p w14:paraId="0CDBF368" w14:textId="77777777" w:rsidR="00CB565C" w:rsidRDefault="00CB565C">
      <w:pPr>
        <w:rPr>
          <w:rFonts w:ascii="Times New Roman" w:hAnsi="Times New Roman" w:cs="Times New Roman"/>
          <w:color w:val="000033"/>
          <w:shd w:val="clear" w:color="auto" w:fill="FFFFFF"/>
        </w:rPr>
      </w:pPr>
    </w:p>
    <w:p w14:paraId="2C28BF3E" w14:textId="0B2412F2" w:rsidR="005921F3" w:rsidRDefault="005921F3">
      <w:pPr>
        <w:rPr>
          <w:rFonts w:ascii="Times New Roman" w:hAnsi="Times New Roman" w:cs="Times New Roman"/>
          <w:color w:val="000033"/>
          <w:shd w:val="clear" w:color="auto" w:fill="FFFFFF"/>
        </w:rPr>
      </w:pPr>
      <w:r>
        <w:rPr>
          <w:rFonts w:ascii="Times New Roman" w:hAnsi="Times New Roman" w:cs="Times New Roman"/>
          <w:color w:val="000033"/>
          <w:shd w:val="clear" w:color="auto" w:fill="FFFFFF"/>
        </w:rPr>
        <w:br w:type="page"/>
      </w:r>
    </w:p>
    <w:p w14:paraId="31930E95" w14:textId="0DA20874" w:rsidR="00D96FC7" w:rsidRDefault="00D96FC7" w:rsidP="00D96FC7">
      <w:pPr>
        <w:rPr>
          <w:rFonts w:ascii="Times New Roman" w:hAnsi="Times New Roman" w:cs="Times New Roman"/>
          <w:color w:val="000033"/>
        </w:rPr>
      </w:pPr>
      <w:r w:rsidRPr="00D96FC7">
        <w:rPr>
          <w:rFonts w:ascii="Times New Roman" w:hAnsi="Times New Roman" w:cs="Times New Roman"/>
          <w:color w:val="000033"/>
        </w:rPr>
        <w:lastRenderedPageBreak/>
        <w:t xml:space="preserve">Reviewer #5: </w:t>
      </w:r>
    </w:p>
    <w:p w14:paraId="7D8ED5C8" w14:textId="77777777" w:rsidR="001D275E" w:rsidRDefault="00D96FC7" w:rsidP="00D96FC7">
      <w:pPr>
        <w:rPr>
          <w:rFonts w:ascii="Times New Roman" w:hAnsi="Times New Roman" w:cs="Times New Roman"/>
          <w:color w:val="000033"/>
        </w:rPr>
      </w:pPr>
      <w:r w:rsidRPr="00D96FC7">
        <w:rPr>
          <w:rFonts w:ascii="Times New Roman" w:hAnsi="Times New Roman" w:cs="Times New Roman"/>
          <w:color w:val="000033"/>
        </w:rPr>
        <w:t>This paper is quite interesting and addresses a relevant topic in the FinTech and P2P lending literature. The authors have largely addressed the concerns raised earlier such as clarifying the research objectives.</w:t>
      </w:r>
      <w:r w:rsidRPr="00D96FC7">
        <w:rPr>
          <w:rFonts w:ascii="Times New Roman" w:hAnsi="Times New Roman" w:cs="Times New Roman"/>
          <w:color w:val="000033"/>
        </w:rPr>
        <w:br/>
      </w:r>
      <w:r w:rsidRPr="00D96FC7">
        <w:rPr>
          <w:rFonts w:ascii="Times New Roman" w:hAnsi="Times New Roman" w:cs="Times New Roman"/>
          <w:color w:val="000033"/>
        </w:rPr>
        <w:br/>
        <w:t>The section on regulatory environment is informative but reads as largely descriptive (same as discussion section). While it provides a detailed account of regulatory requirements and changes for each platform, it lacks deeper analytical insight into how these external pressures shaped strategic decisions, or risk management.</w:t>
      </w:r>
      <w:r w:rsidRPr="00D96FC7">
        <w:rPr>
          <w:rFonts w:ascii="Times New Roman" w:hAnsi="Times New Roman" w:cs="Times New Roman"/>
          <w:color w:val="000033"/>
        </w:rPr>
        <w:br/>
        <w:t>I suggest the authors enhance this section by: Adding analytical commentary that links specific regulatory actions to platform responses and strategic adaptation. Incorporating theoretical or literature-based support to explain the mechanisms behind regulatory influence.</w:t>
      </w:r>
    </w:p>
    <w:p w14:paraId="7A41A8CD" w14:textId="77777777" w:rsidR="009F7DB7" w:rsidRPr="009F7DB7" w:rsidRDefault="00D96FC7" w:rsidP="009F7DB7">
      <w:pPr>
        <w:rPr>
          <w:rFonts w:ascii="Times New Roman" w:hAnsi="Times New Roman" w:cs="Times New Roman"/>
          <w:color w:val="1F5E9A"/>
        </w:rPr>
      </w:pPr>
      <w:r w:rsidRPr="00D96FC7">
        <w:rPr>
          <w:rFonts w:ascii="Times New Roman" w:hAnsi="Times New Roman" w:cs="Times New Roman"/>
          <w:color w:val="000033"/>
        </w:rPr>
        <w:br/>
        <w:t xml:space="preserve">These additions would strengthen the discussion, moving it from a descriptive account toward a more critical and explanatory analysis. Several assertions would benefit from more explicit referencing. Strengthening your points with supporting sources would enhance the credibility and </w:t>
      </w:r>
      <w:proofErr w:type="spellStart"/>
      <w:r w:rsidRPr="00D96FC7">
        <w:rPr>
          <w:rFonts w:ascii="Times New Roman" w:hAnsi="Times New Roman" w:cs="Times New Roman"/>
          <w:color w:val="000033"/>
        </w:rPr>
        <w:t>rigour</w:t>
      </w:r>
      <w:proofErr w:type="spellEnd"/>
      <w:r w:rsidRPr="00D96FC7">
        <w:rPr>
          <w:rFonts w:ascii="Times New Roman" w:hAnsi="Times New Roman" w:cs="Times New Roman"/>
          <w:color w:val="000033"/>
        </w:rPr>
        <w:t xml:space="preserve"> of the discussion.</w:t>
      </w:r>
      <w:r w:rsidRPr="00D96FC7">
        <w:rPr>
          <w:rFonts w:ascii="Times New Roman" w:hAnsi="Times New Roman" w:cs="Times New Roman"/>
          <w:color w:val="000033"/>
        </w:rPr>
        <w:br/>
      </w:r>
      <w:r w:rsidRPr="00D96FC7">
        <w:rPr>
          <w:rFonts w:ascii="Times New Roman" w:hAnsi="Times New Roman" w:cs="Times New Roman"/>
          <w:color w:val="000033"/>
        </w:rPr>
        <w:br/>
      </w:r>
      <w:r w:rsidR="009F7DB7" w:rsidRPr="009F7DB7">
        <w:rPr>
          <w:rFonts w:ascii="Times New Roman" w:hAnsi="Times New Roman" w:cs="Times New Roman"/>
          <w:color w:val="1F5E9A"/>
        </w:rPr>
        <w:t>We thank the reviewer for their thoughtful feedback and their recognition of the article’s relevance to the FinTech and P2P lending literature. Regarding the comment on the descriptive nature of the regulatory sections, we respectfully note that each platform-specific subsection in Section 5 already includes a dedicated “Regulatory changes and impact” component. This part is designed to link specific regulatory shifts to platform-level strategic responses, drawing from publicly available disclosures and media reports. We believe this structure provides a grounded and systematic way of illustrating how external regulatory developments shaped internal decision-making, without overreaching beyond what the available evidence allows.</w:t>
      </w:r>
    </w:p>
    <w:p w14:paraId="43F5AF37" w14:textId="77777777" w:rsidR="009F7DB7" w:rsidRPr="009F7DB7" w:rsidRDefault="009F7DB7" w:rsidP="009F7DB7">
      <w:pPr>
        <w:rPr>
          <w:rFonts w:ascii="Times New Roman" w:hAnsi="Times New Roman" w:cs="Times New Roman"/>
          <w:color w:val="1F5E9A"/>
        </w:rPr>
      </w:pPr>
    </w:p>
    <w:p w14:paraId="434FBCA7" w14:textId="77777777" w:rsidR="009F7DB7" w:rsidRPr="009F7DB7" w:rsidRDefault="009F7DB7" w:rsidP="009F7DB7">
      <w:pPr>
        <w:rPr>
          <w:rFonts w:ascii="Times New Roman" w:hAnsi="Times New Roman" w:cs="Times New Roman"/>
          <w:color w:val="1F5E9A"/>
        </w:rPr>
      </w:pPr>
      <w:r w:rsidRPr="009F7DB7">
        <w:rPr>
          <w:rFonts w:ascii="Times New Roman" w:hAnsi="Times New Roman" w:cs="Times New Roman"/>
          <w:color w:val="1F5E9A"/>
        </w:rPr>
        <w:t xml:space="preserve">At the same time, we acknowledge the importance of analytical </w:t>
      </w:r>
      <w:proofErr w:type="gramStart"/>
      <w:r w:rsidRPr="009F7DB7">
        <w:rPr>
          <w:rFonts w:ascii="Times New Roman" w:hAnsi="Times New Roman" w:cs="Times New Roman"/>
          <w:color w:val="1F5E9A"/>
        </w:rPr>
        <w:t>depth, but</w:t>
      </w:r>
      <w:proofErr w:type="gramEnd"/>
      <w:r w:rsidRPr="009F7DB7">
        <w:rPr>
          <w:rFonts w:ascii="Times New Roman" w:hAnsi="Times New Roman" w:cs="Times New Roman"/>
          <w:color w:val="1F5E9A"/>
        </w:rPr>
        <w:t xml:space="preserve"> also aim to avoid speculative interpretations that lack empirical support. Our approach has therefore been to maximize analytical clarity where documentation exists, while maintaining a cautious boundary around causal claims in the absence of primary data.</w:t>
      </w:r>
    </w:p>
    <w:p w14:paraId="65052D2E" w14:textId="77777777" w:rsidR="009F7DB7" w:rsidRPr="009F7DB7" w:rsidRDefault="009F7DB7" w:rsidP="009F7DB7">
      <w:pPr>
        <w:rPr>
          <w:rFonts w:ascii="Times New Roman" w:hAnsi="Times New Roman" w:cs="Times New Roman"/>
          <w:color w:val="1F5E9A"/>
        </w:rPr>
      </w:pPr>
    </w:p>
    <w:p w14:paraId="35BDF7CC" w14:textId="12A327BD" w:rsidR="00D96FC7" w:rsidRPr="009F7DB7" w:rsidRDefault="009F7DB7" w:rsidP="009F7DB7">
      <w:pPr>
        <w:rPr>
          <w:rFonts w:ascii="Times New Roman" w:hAnsi="Times New Roman" w:cs="Times New Roman"/>
          <w:color w:val="000033"/>
        </w:rPr>
      </w:pPr>
      <w:r w:rsidRPr="009F7DB7">
        <w:rPr>
          <w:rFonts w:ascii="Times New Roman" w:hAnsi="Times New Roman" w:cs="Times New Roman"/>
          <w:color w:val="1F5E9A"/>
        </w:rPr>
        <w:t xml:space="preserve">Finally, we have reviewed the manuscript to ensure that relevant assertions are supported with appropriate </w:t>
      </w:r>
      <w:proofErr w:type="gramStart"/>
      <w:r w:rsidRPr="009F7DB7">
        <w:rPr>
          <w:rFonts w:ascii="Times New Roman" w:hAnsi="Times New Roman" w:cs="Times New Roman"/>
          <w:color w:val="1F5E9A"/>
        </w:rPr>
        <w:t>references, and</w:t>
      </w:r>
      <w:proofErr w:type="gramEnd"/>
      <w:r w:rsidRPr="009F7DB7">
        <w:rPr>
          <w:rFonts w:ascii="Times New Roman" w:hAnsi="Times New Roman" w:cs="Times New Roman"/>
          <w:color w:val="1F5E9A"/>
        </w:rPr>
        <w:t xml:space="preserve"> thank the reviewer again for encouraging this strengthening of our discussion.</w:t>
      </w:r>
    </w:p>
    <w:p w14:paraId="53D81F98" w14:textId="77777777" w:rsidR="00D96FC7" w:rsidRDefault="00D96FC7" w:rsidP="00D96FC7">
      <w:pPr>
        <w:rPr>
          <w:rFonts w:ascii="Times New Roman" w:hAnsi="Times New Roman" w:cs="Times New Roman"/>
          <w:color w:val="000033"/>
        </w:rPr>
      </w:pPr>
    </w:p>
    <w:p w14:paraId="1B01A43A" w14:textId="77777777" w:rsidR="00187970" w:rsidRPr="00D96FC7" w:rsidRDefault="00187970" w:rsidP="00187970">
      <w:pPr>
        <w:rPr>
          <w:rFonts w:ascii="Times New Roman" w:hAnsi="Times New Roman" w:cs="Times New Roman"/>
          <w:color w:val="000033"/>
        </w:rPr>
      </w:pPr>
    </w:p>
    <w:bookmarkEnd w:id="0"/>
    <w:p w14:paraId="1920E9C8" w14:textId="2087465A" w:rsidR="00D96FC7" w:rsidRDefault="00D96FC7">
      <w:pPr>
        <w:rPr>
          <w:rFonts w:ascii="Times New Roman" w:hAnsi="Times New Roman" w:cs="Times New Roman"/>
          <w:color w:val="215E99"/>
        </w:rPr>
      </w:pPr>
      <w:r>
        <w:rPr>
          <w:rFonts w:ascii="Times New Roman" w:hAnsi="Times New Roman" w:cs="Times New Roman"/>
          <w:color w:val="215E99"/>
        </w:rPr>
        <w:br w:type="page"/>
      </w:r>
    </w:p>
    <w:p w14:paraId="6A9DBAF0" w14:textId="77777777" w:rsidR="00D96FC7"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lastRenderedPageBreak/>
        <w:t xml:space="preserve">Reviewer #6: </w:t>
      </w:r>
    </w:p>
    <w:p w14:paraId="6E52BFCC" w14:textId="3C861666" w:rsidR="00B71048"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t>Dear Authors,</w:t>
      </w:r>
      <w:r w:rsidRPr="00D96FC7">
        <w:rPr>
          <w:rFonts w:ascii="Times New Roman" w:eastAsiaTheme="minorEastAsia" w:hAnsi="Times New Roman" w:cs="Times New Roman"/>
          <w:color w:val="000033"/>
          <w:kern w:val="2"/>
        </w:rPr>
        <w:br/>
      </w:r>
      <w:r w:rsidRPr="00D96FC7">
        <w:rPr>
          <w:rFonts w:ascii="Times New Roman" w:eastAsiaTheme="minorEastAsia" w:hAnsi="Times New Roman" w:cs="Times New Roman"/>
          <w:color w:val="000033"/>
          <w:kern w:val="2"/>
        </w:rPr>
        <w:br/>
        <w:t>The paper addresses a timely and important question—why leading P2P lending platforms are moving away from their original peer-to-peer model toward institutional or hybrid structures. This is a real puzzle in the evolution of fintech and digital intermediation, and your attempt to provide a comparative, multi-country explanation is both interesting and valuable. The topic is well suited to Financial Innovation and clearly relevant to scholars of financial regulation, platform governance, and innovation policy.</w:t>
      </w:r>
      <w:r w:rsidRPr="00D96FC7">
        <w:rPr>
          <w:rFonts w:ascii="Times New Roman" w:eastAsiaTheme="minorEastAsia" w:hAnsi="Times New Roman" w:cs="Times New Roman"/>
          <w:color w:val="000033"/>
          <w:kern w:val="2"/>
        </w:rPr>
        <w:br/>
      </w:r>
      <w:r w:rsidRPr="00D96FC7">
        <w:rPr>
          <w:rFonts w:ascii="Times New Roman" w:eastAsiaTheme="minorEastAsia" w:hAnsi="Times New Roman" w:cs="Times New Roman"/>
          <w:color w:val="000033"/>
          <w:kern w:val="2"/>
        </w:rPr>
        <w:br/>
        <w:t>The paper has several notable strengths. It engages with a significant transformation in financial intermediation and situates it within the broader dynamics of digital finance and regulatory adaptation. The empirical coverage is impressive: your selection of eight major platforms across North America, Europe, and Asia provides meaningful geographic diversity and enables cross-jurisdictional insights. I particularly appreciated your dual-lens analysis, which considers both internal operational challenges and external regulatory pressures as potential drivers of transformation. This holistic framing is one of the paper's key contributions.</w:t>
      </w:r>
    </w:p>
    <w:p w14:paraId="0F352027" w14:textId="77777777" w:rsidR="00B71048"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br/>
        <w:t>That said, I believe the paper still requires additional development before it reaches publication standard. At present, it reads as a well-informed and well-written industry study rather than a fully theorized scholarly analysis. The revision would benefit from a more rigorous conceptual framework, a clearer comparative logic, and a deeper treatment of causality and timing. My detailed comments below are intended to help you strengthen these aspects while preserving the paper's empirical richness.</w:t>
      </w:r>
      <w:r w:rsidRPr="00D96FC7">
        <w:rPr>
          <w:rFonts w:ascii="Times New Roman" w:eastAsiaTheme="minorEastAsia" w:hAnsi="Times New Roman" w:cs="Times New Roman"/>
          <w:color w:val="000033"/>
          <w:kern w:val="2"/>
        </w:rPr>
        <w:br/>
      </w:r>
    </w:p>
    <w:p w14:paraId="087B5AB1" w14:textId="677F778E" w:rsidR="00B71048" w:rsidRPr="00B71048" w:rsidRDefault="00B71048" w:rsidP="00B71048">
      <w:pPr>
        <w:widowControl w:val="0"/>
        <w:jc w:val="both"/>
        <w:rPr>
          <w:rFonts w:ascii="Times New Roman" w:eastAsiaTheme="minorEastAsia" w:hAnsi="Times New Roman" w:cs="Times New Roman"/>
          <w:color w:val="000033"/>
          <w:kern w:val="2"/>
        </w:rPr>
      </w:pPr>
      <w:r w:rsidRPr="00B71048">
        <w:rPr>
          <w:rFonts w:ascii="Times New Roman" w:hAnsi="Times New Roman" w:cs="Times New Roman"/>
          <w:color w:val="205E9A"/>
        </w:rPr>
        <w:t>We sincerely thank the reviewer for the thoughtful and encouraging assessment of our manuscript. We appreciate the recognition of the paper’s central research question, its relevance to ongoing debates in fintech transformation, and the importance of understanding why major P2P lending platforms have shifted away from their original peer to peer model. We are grateful for the acknowledgement of the empirical breadth of our comparative design as well as the value of the dual lens analytical framework integrating internal operational challenges with external regulatory pressures. The reviewer’s positive evaluation of our cross jurisdictional coverage and the holistic framing of platform evolution is highly motivating. The detailed suggestions provided in the remainder of the review have been extremely helpful in guiding our revisions, and we have carefully considered and addressed each of them in the revised manuscript.</w:t>
      </w:r>
      <w:r>
        <w:rPr>
          <w:rFonts w:ascii="Times New Roman" w:hAnsi="Times New Roman" w:cs="Times New Roman"/>
          <w:color w:val="205E9A"/>
        </w:rPr>
        <w:t xml:space="preserve"> </w:t>
      </w:r>
    </w:p>
    <w:p w14:paraId="39533C34" w14:textId="77777777" w:rsidR="00B71048" w:rsidRPr="00B71048" w:rsidRDefault="00B71048" w:rsidP="00D96FC7">
      <w:pPr>
        <w:widowControl w:val="0"/>
        <w:jc w:val="both"/>
        <w:rPr>
          <w:rFonts w:ascii="Times New Roman" w:eastAsiaTheme="minorEastAsia" w:hAnsi="Times New Roman" w:cs="Times New Roman"/>
          <w:color w:val="000033"/>
          <w:kern w:val="2"/>
        </w:rPr>
      </w:pPr>
    </w:p>
    <w:p w14:paraId="74239CF2" w14:textId="77777777" w:rsidR="00782429"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br/>
        <w:t xml:space="preserve">First, the methodological design remains constrained by its exclusive reliance on secondary data. While the sources you use are appropriate and carefully documented, the lack of any primary material limits the explanatory depth. Without access to decision-makers or regulators, it is difficult to establish whether regulation caused </w:t>
      </w:r>
      <w:r w:rsidRPr="00D96FC7">
        <w:rPr>
          <w:rFonts w:ascii="Times New Roman" w:eastAsiaTheme="minorEastAsia" w:hAnsi="Times New Roman" w:cs="Times New Roman"/>
          <w:color w:val="000033"/>
          <w:kern w:val="2"/>
        </w:rPr>
        <w:lastRenderedPageBreak/>
        <w:t>platform transformation or whether internal failures prompted regulatory tightening. If collecting new data is not feasible, it would help to be explicit about these limitations and clarify how they affect the scope of your claims. Even a small number of targeted interviews, quoted earnings-call statements, or regulator communications could add valuable triangulation and depth.</w:t>
      </w:r>
      <w:r w:rsidRPr="00D96FC7">
        <w:rPr>
          <w:rFonts w:ascii="Times New Roman" w:eastAsiaTheme="minorEastAsia" w:hAnsi="Times New Roman" w:cs="Times New Roman"/>
          <w:color w:val="000033"/>
          <w:kern w:val="2"/>
        </w:rPr>
        <w:br/>
      </w:r>
    </w:p>
    <w:p w14:paraId="4A481397" w14:textId="6D547663" w:rsidR="00782429" w:rsidRPr="00782429" w:rsidRDefault="00782429" w:rsidP="00782429">
      <w:pPr>
        <w:widowControl w:val="0"/>
        <w:jc w:val="both"/>
        <w:rPr>
          <w:rFonts w:ascii="Times New Roman" w:hAnsi="Times New Roman" w:cs="Times New Roman"/>
          <w:color w:val="205E9A"/>
        </w:rPr>
      </w:pPr>
      <w:r w:rsidRPr="00782429">
        <w:rPr>
          <w:rFonts w:ascii="Times New Roman" w:hAnsi="Times New Roman" w:cs="Times New Roman"/>
          <w:color w:val="205E9A"/>
        </w:rPr>
        <w:t>We appreciate the reviewer’s careful attention to the methodological foundations of this paper. As rightly pointed out, our analysis relies exclusively on secondary data, including platform disclosures, regulatory filings, and financial news sources. This constraint reflects the practical difficulty of obtaining primary material</w:t>
      </w:r>
      <w:r w:rsidR="008E6DD4">
        <w:rPr>
          <w:rFonts w:ascii="Times New Roman" w:hAnsi="Times New Roman" w:cs="Times New Roman"/>
          <w:color w:val="205E9A"/>
        </w:rPr>
        <w:t xml:space="preserve">, </w:t>
      </w:r>
      <w:r w:rsidRPr="00782429">
        <w:rPr>
          <w:rFonts w:ascii="Times New Roman" w:hAnsi="Times New Roman" w:cs="Times New Roman"/>
          <w:color w:val="205E9A"/>
        </w:rPr>
        <w:t>such as interviews with decision-makers or informal communications</w:t>
      </w:r>
      <w:r w:rsidR="008E6DD4">
        <w:rPr>
          <w:rFonts w:ascii="Times New Roman" w:hAnsi="Times New Roman" w:cs="Times New Roman"/>
          <w:color w:val="205E9A"/>
        </w:rPr>
        <w:t xml:space="preserve">, </w:t>
      </w:r>
      <w:r w:rsidRPr="00782429">
        <w:rPr>
          <w:rFonts w:ascii="Times New Roman" w:hAnsi="Times New Roman" w:cs="Times New Roman"/>
          <w:color w:val="205E9A"/>
        </w:rPr>
        <w:t>across multiple jurisdictions and institutions. This concern was also raised in the previous review round, and we have since taken steps to clarify the implications of this data limitation in two places. First, in Section 3.2 (“Justification for platform selection”), we acknowledge that our case selection strategy, while enabling geographic and institutional comparison, limits the generalizability of our conclusions to relatively prominent and visible platforms. Second, in Section 6.1 (“Limitations and scope conditions”), we offer a dedicated discussion of these constraints and clarify that our findings should be interpreted as most applicable to mature platforms with observable trajectories, rather than the broader universe of small or defunct P2P providers.</w:t>
      </w:r>
    </w:p>
    <w:p w14:paraId="4A245BED" w14:textId="77777777" w:rsidR="00782429" w:rsidRPr="00782429" w:rsidRDefault="00782429" w:rsidP="00782429">
      <w:pPr>
        <w:widowControl w:val="0"/>
        <w:jc w:val="both"/>
        <w:rPr>
          <w:rFonts w:ascii="Times New Roman" w:hAnsi="Times New Roman" w:cs="Times New Roman"/>
          <w:color w:val="205E9A"/>
        </w:rPr>
      </w:pPr>
    </w:p>
    <w:p w14:paraId="6FE7654B" w14:textId="55069CDE" w:rsidR="00782429" w:rsidRPr="00782429" w:rsidRDefault="00782429" w:rsidP="00782429">
      <w:pPr>
        <w:widowControl w:val="0"/>
        <w:jc w:val="both"/>
        <w:rPr>
          <w:rFonts w:ascii="Times New Roman" w:hAnsi="Times New Roman" w:cs="Times New Roman"/>
          <w:color w:val="205E9A"/>
        </w:rPr>
      </w:pPr>
      <w:r w:rsidRPr="00782429">
        <w:rPr>
          <w:rFonts w:ascii="Times New Roman" w:hAnsi="Times New Roman" w:cs="Times New Roman"/>
          <w:color w:val="205E9A"/>
        </w:rPr>
        <w:t>Regarding the question of causal directionality—whether internal fragilities preceded regulatory tightening or vice versa</w:t>
      </w:r>
      <w:r w:rsidR="005E0ECB">
        <w:rPr>
          <w:rFonts w:ascii="Times New Roman" w:hAnsi="Times New Roman" w:cs="Times New Roman"/>
          <w:color w:val="205E9A"/>
        </w:rPr>
        <w:t xml:space="preserve">, </w:t>
      </w:r>
      <w:r w:rsidRPr="00782429">
        <w:rPr>
          <w:rFonts w:ascii="Times New Roman" w:hAnsi="Times New Roman" w:cs="Times New Roman"/>
          <w:color w:val="205E9A"/>
        </w:rPr>
        <w:t>we agree that this remains an important and complex issue. In Section 6.2 of the Discussion, we introduce the idea of a “dynamic feedback loop” between internal vulnerabilities and regulatory scrutiny, noting that platform fragility and tightening oversight often co-evolve. However, given that the unit of analysis in this paper is the platform itself (rather than the regulator), our analytical focus remains on how external regulation influenced platform transformation. While we acknowledge the possibility of reciprocal causation—i.e., that perceived risks or failures may have prompted tighter supervision—we do not make strong causal claims in this direction due to the inherent limitations of case-based inference and the absence of access to regulatory deliberations. We thus concur with the reviewer that future research using stakeholder interviews or earnings-call disclosures could offer greater clarity on this dynamic.</w:t>
      </w:r>
    </w:p>
    <w:p w14:paraId="29BAA5E0" w14:textId="1B25D20E" w:rsidR="00782429" w:rsidRPr="00782429" w:rsidRDefault="00782429" w:rsidP="00D96FC7">
      <w:pPr>
        <w:widowControl w:val="0"/>
        <w:jc w:val="both"/>
        <w:rPr>
          <w:rFonts w:ascii="Times New Roman" w:eastAsiaTheme="minorEastAsia" w:hAnsi="Times New Roman" w:cs="Times New Roman"/>
          <w:color w:val="000033"/>
          <w:kern w:val="2"/>
        </w:rPr>
      </w:pPr>
    </w:p>
    <w:p w14:paraId="0549B18E" w14:textId="77777777" w:rsidR="006562B1"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br/>
        <w:t xml:space="preserve">Second, the theoretical foundation needs strengthening. The paper would gain substantially from situating its argument within established theoretical traditions—such as platform economics, institutional theory, or financial intermediation under regulation. The "feedback loop" model you present provides a useful visual, but it currently functions more as a descriptive summary than as an explanatory framework. Developing clearer propositions—for instance, specifying how regulatory coercion, market maturation, or institutional investor pressure might differentially affect platform adaptation—would give the paper stronger analytical focus and allow you to move </w:t>
      </w:r>
      <w:r w:rsidRPr="00D96FC7">
        <w:rPr>
          <w:rFonts w:ascii="Times New Roman" w:eastAsiaTheme="minorEastAsia" w:hAnsi="Times New Roman" w:cs="Times New Roman"/>
          <w:color w:val="000033"/>
          <w:kern w:val="2"/>
        </w:rPr>
        <w:lastRenderedPageBreak/>
        <w:t>beyond narration toward explanation.</w:t>
      </w:r>
      <w:r w:rsidRPr="00D96FC7">
        <w:rPr>
          <w:rFonts w:ascii="Times New Roman" w:eastAsiaTheme="minorEastAsia" w:hAnsi="Times New Roman" w:cs="Times New Roman"/>
          <w:color w:val="000033"/>
          <w:kern w:val="2"/>
        </w:rPr>
        <w:br/>
      </w:r>
    </w:p>
    <w:p w14:paraId="1611207C" w14:textId="54B50B59" w:rsidR="006562B1" w:rsidRPr="006562B1" w:rsidRDefault="006562B1" w:rsidP="006562B1">
      <w:pPr>
        <w:widowControl w:val="0"/>
        <w:jc w:val="both"/>
        <w:rPr>
          <w:rFonts w:ascii="Times New Roman" w:hAnsi="Times New Roman" w:cs="Times New Roman"/>
          <w:color w:val="205E9A"/>
        </w:rPr>
      </w:pPr>
      <w:r w:rsidRPr="006562B1">
        <w:rPr>
          <w:rFonts w:ascii="Times New Roman" w:hAnsi="Times New Roman" w:cs="Times New Roman"/>
          <w:color w:val="205E9A"/>
        </w:rPr>
        <w:t>We thank the reviewer for this insightful comment regarding the need for stronger theoretical grounding. We agree that a more explicit integration of established theoretical traditions can enhance the explanatory value of our argument. In response to earlier reviewer suggestions, we have already introduced a new subsection titled Platform governance and institutional adaptation in the literature review (Section 2.4), where we discuss how platform governance structures evolve in response to shifting institutional environments. This section draws on recent theoretical and empirical work from both the FinTech and institutional theory literature, including studies that conceptualize platform governance as a multilayered institutional architecture.</w:t>
      </w:r>
    </w:p>
    <w:p w14:paraId="2A180346" w14:textId="77777777" w:rsidR="006562B1" w:rsidRPr="006562B1" w:rsidRDefault="006562B1" w:rsidP="006562B1">
      <w:pPr>
        <w:widowControl w:val="0"/>
        <w:jc w:val="both"/>
        <w:rPr>
          <w:rFonts w:ascii="Times New Roman" w:hAnsi="Times New Roman" w:cs="Times New Roman"/>
          <w:color w:val="205E9A"/>
        </w:rPr>
      </w:pPr>
    </w:p>
    <w:p w14:paraId="7642602E" w14:textId="77777777" w:rsidR="006562B1" w:rsidRPr="006562B1" w:rsidRDefault="006562B1" w:rsidP="006562B1">
      <w:pPr>
        <w:widowControl w:val="0"/>
        <w:jc w:val="both"/>
        <w:rPr>
          <w:rFonts w:ascii="Times New Roman" w:hAnsi="Times New Roman" w:cs="Times New Roman"/>
          <w:color w:val="205E9A"/>
        </w:rPr>
      </w:pPr>
      <w:r w:rsidRPr="006562B1">
        <w:rPr>
          <w:rFonts w:ascii="Times New Roman" w:hAnsi="Times New Roman" w:cs="Times New Roman"/>
          <w:color w:val="205E9A"/>
        </w:rPr>
        <w:t>While we do not develop a formal theoretical model, we have taken steps to clarify how our empirical findings align with these theoretical perspectives. In particular, the feedback loop introduced in Section 6.2 is not intended as a static summary, but rather as a conceptual framing device that highlights the recursive dynamics between internal operational fragilities and external regulatory adaptations. We have revised this section to clarify that we understand platform evolution as a form of institutional adaptation shaped by the interplay of regulatory constraints, investor demands, and operational limitations.</w:t>
      </w:r>
    </w:p>
    <w:p w14:paraId="6B70B70D" w14:textId="77777777" w:rsidR="006562B1" w:rsidRPr="006562B1" w:rsidRDefault="006562B1" w:rsidP="006562B1">
      <w:pPr>
        <w:widowControl w:val="0"/>
        <w:jc w:val="both"/>
        <w:rPr>
          <w:rFonts w:ascii="Times New Roman" w:hAnsi="Times New Roman" w:cs="Times New Roman"/>
          <w:color w:val="205E9A"/>
        </w:rPr>
      </w:pPr>
    </w:p>
    <w:p w14:paraId="5E2B4E9A" w14:textId="77777777" w:rsidR="006562B1" w:rsidRPr="006562B1" w:rsidRDefault="006562B1" w:rsidP="006562B1">
      <w:pPr>
        <w:widowControl w:val="0"/>
        <w:jc w:val="both"/>
        <w:rPr>
          <w:rFonts w:ascii="Times New Roman" w:hAnsi="Times New Roman" w:cs="Times New Roman"/>
          <w:color w:val="205E9A"/>
        </w:rPr>
      </w:pPr>
      <w:r w:rsidRPr="006562B1">
        <w:rPr>
          <w:rFonts w:ascii="Times New Roman" w:hAnsi="Times New Roman" w:cs="Times New Roman"/>
          <w:color w:val="205E9A"/>
        </w:rPr>
        <w:t>Additionally, we now explicitly reflect on this theoretical lens in our concluding discussion, pointing out how different forms of institutional pressure—such as compliance mandates or due diligence protocols linked to institutional capital—can differentially affect platforms depending on their internal governance capacities. We also added relevant references to platform economics and institutional theory to further substantiate this interpretation.</w:t>
      </w:r>
    </w:p>
    <w:p w14:paraId="3E7364E7" w14:textId="77777777" w:rsidR="006562B1" w:rsidRPr="006562B1" w:rsidRDefault="006562B1" w:rsidP="006562B1">
      <w:pPr>
        <w:widowControl w:val="0"/>
        <w:jc w:val="both"/>
        <w:rPr>
          <w:rFonts w:ascii="Times New Roman" w:hAnsi="Times New Roman" w:cs="Times New Roman"/>
          <w:color w:val="205E9A"/>
        </w:rPr>
      </w:pPr>
    </w:p>
    <w:p w14:paraId="1A58D03A" w14:textId="6BF2CE87" w:rsidR="006562B1" w:rsidRDefault="006562B1" w:rsidP="006562B1">
      <w:pPr>
        <w:widowControl w:val="0"/>
        <w:jc w:val="both"/>
        <w:rPr>
          <w:rFonts w:ascii="Times New Roman" w:eastAsiaTheme="minorEastAsia" w:hAnsi="Times New Roman" w:cs="Times New Roman"/>
          <w:color w:val="000033"/>
          <w:kern w:val="2"/>
        </w:rPr>
      </w:pPr>
      <w:r w:rsidRPr="006562B1">
        <w:rPr>
          <w:rFonts w:ascii="Times New Roman" w:hAnsi="Times New Roman" w:cs="Times New Roman"/>
          <w:color w:val="205E9A"/>
        </w:rPr>
        <w:t>We hope that these revisions demonstrate our efforts to move beyond empirical narration and toward a more theoretically informed explanation of cross-platform variation.</w:t>
      </w:r>
    </w:p>
    <w:p w14:paraId="1DC54FE9" w14:textId="77777777" w:rsidR="006562B1" w:rsidRPr="006562B1" w:rsidRDefault="006562B1" w:rsidP="00D96FC7">
      <w:pPr>
        <w:widowControl w:val="0"/>
        <w:jc w:val="both"/>
        <w:rPr>
          <w:rFonts w:ascii="Times New Roman" w:eastAsiaTheme="minorEastAsia" w:hAnsi="Times New Roman" w:cs="Times New Roman"/>
          <w:color w:val="000033"/>
          <w:kern w:val="2"/>
        </w:rPr>
      </w:pPr>
    </w:p>
    <w:p w14:paraId="77CECC11" w14:textId="77777777" w:rsidR="00DB2359"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br/>
        <w:t>Third, the causal structure of your argument remains somewhat ambiguous. The paper acknowledges that regulatory change and internal fragility co-evolved, yet it does not convincingly disentangle which preceded the other, or why similar regulatory environments produced divergent outcomes across platforms. A more systematic comparative analysis—perhaps organized around the timing of regulatory interventions and the share of institutional funding—could illuminate these dynamics. A summary table comparing each platform's business model, regulatory milestones, investor mix, and year of transition would greatly enhance clarity and analytic rigor.</w:t>
      </w:r>
      <w:r w:rsidRPr="00D96FC7">
        <w:rPr>
          <w:rFonts w:ascii="Times New Roman" w:eastAsiaTheme="minorEastAsia" w:hAnsi="Times New Roman" w:cs="Times New Roman"/>
          <w:color w:val="000033"/>
          <w:kern w:val="2"/>
        </w:rPr>
        <w:br/>
      </w:r>
    </w:p>
    <w:p w14:paraId="641409F7" w14:textId="77777777" w:rsidR="008100C6" w:rsidRPr="008100C6" w:rsidRDefault="008100C6" w:rsidP="008100C6">
      <w:pPr>
        <w:widowControl w:val="0"/>
        <w:jc w:val="both"/>
        <w:rPr>
          <w:rFonts w:ascii="Times New Roman" w:eastAsiaTheme="minorEastAsia" w:hAnsi="Times New Roman" w:cs="Times New Roman"/>
          <w:color w:val="1F5E9A"/>
          <w:kern w:val="2"/>
        </w:rPr>
      </w:pPr>
      <w:r w:rsidRPr="008100C6">
        <w:rPr>
          <w:rFonts w:ascii="Times New Roman" w:eastAsiaTheme="minorEastAsia" w:hAnsi="Times New Roman" w:cs="Times New Roman"/>
          <w:color w:val="1F5E9A"/>
          <w:kern w:val="2"/>
        </w:rPr>
        <w:t xml:space="preserve">We thank the reviewer for raising the issue of causal ambiguity and variation across regulatory environments. As noted in our response to earlier reviewers, we view the </w:t>
      </w:r>
      <w:r w:rsidRPr="008100C6">
        <w:rPr>
          <w:rFonts w:ascii="Times New Roman" w:eastAsiaTheme="minorEastAsia" w:hAnsi="Times New Roman" w:cs="Times New Roman"/>
          <w:color w:val="1F5E9A"/>
          <w:kern w:val="2"/>
        </w:rPr>
        <w:lastRenderedPageBreak/>
        <w:t>relationship between internal platform fragility and external regulatory intervention as fundamentally co-evolutionary and recursive, rather than unidirectional. While this makes it difficult to isolate a single causal pathway, we have clarified in Section 6.2 that our focus is on platform-level transformations in response to external pressures, without claiming statistical identification of causal effects. We have also revised the discussion to be more explicit about the limitations in establishing directionality given the nature of our data.</w:t>
      </w:r>
    </w:p>
    <w:p w14:paraId="6FCF433C" w14:textId="77777777" w:rsidR="008100C6" w:rsidRPr="008100C6" w:rsidRDefault="008100C6" w:rsidP="008100C6">
      <w:pPr>
        <w:widowControl w:val="0"/>
        <w:jc w:val="both"/>
        <w:rPr>
          <w:rFonts w:ascii="Times New Roman" w:eastAsiaTheme="minorEastAsia" w:hAnsi="Times New Roman" w:cs="Times New Roman"/>
          <w:color w:val="1F5E9A"/>
          <w:kern w:val="2"/>
        </w:rPr>
      </w:pPr>
    </w:p>
    <w:p w14:paraId="7D535452" w14:textId="77777777" w:rsidR="008100C6" w:rsidRPr="008100C6" w:rsidRDefault="008100C6" w:rsidP="008100C6">
      <w:pPr>
        <w:widowControl w:val="0"/>
        <w:jc w:val="both"/>
        <w:rPr>
          <w:rFonts w:ascii="Times New Roman" w:eastAsiaTheme="minorEastAsia" w:hAnsi="Times New Roman" w:cs="Times New Roman"/>
          <w:color w:val="1F5E9A"/>
          <w:kern w:val="2"/>
        </w:rPr>
      </w:pPr>
      <w:r w:rsidRPr="008100C6">
        <w:rPr>
          <w:rFonts w:ascii="Times New Roman" w:eastAsiaTheme="minorEastAsia" w:hAnsi="Times New Roman" w:cs="Times New Roman"/>
          <w:color w:val="1F5E9A"/>
          <w:kern w:val="2"/>
        </w:rPr>
        <w:t xml:space="preserve">Regarding the comparative analysis, we respectfully note that the revised manuscript already incorporates a dedicated synthesis section (Section 5.9) introduced in response to previous reviewer suggestions. This section draws on platform-level developments to explain why similar </w:t>
      </w:r>
      <w:proofErr w:type="gramStart"/>
      <w:r w:rsidRPr="008100C6">
        <w:rPr>
          <w:rFonts w:ascii="Times New Roman" w:eastAsiaTheme="minorEastAsia" w:hAnsi="Times New Roman" w:cs="Times New Roman"/>
          <w:color w:val="1F5E9A"/>
          <w:kern w:val="2"/>
        </w:rPr>
        <w:t>regulatory</w:t>
      </w:r>
      <w:proofErr w:type="gramEnd"/>
      <w:r w:rsidRPr="008100C6">
        <w:rPr>
          <w:rFonts w:ascii="Times New Roman" w:eastAsiaTheme="minorEastAsia" w:hAnsi="Times New Roman" w:cs="Times New Roman"/>
          <w:color w:val="1F5E9A"/>
          <w:kern w:val="2"/>
        </w:rPr>
        <w:t xml:space="preserve"> or market environments led to divergent strategic outcomes. For example, we contrast </w:t>
      </w:r>
      <w:proofErr w:type="spellStart"/>
      <w:r w:rsidRPr="008100C6">
        <w:rPr>
          <w:rFonts w:ascii="Times New Roman" w:eastAsiaTheme="minorEastAsia" w:hAnsi="Times New Roman" w:cs="Times New Roman"/>
          <w:color w:val="1F5E9A"/>
          <w:kern w:val="2"/>
        </w:rPr>
        <w:t>LendingClub</w:t>
      </w:r>
      <w:proofErr w:type="spellEnd"/>
      <w:r w:rsidRPr="008100C6">
        <w:rPr>
          <w:rFonts w:ascii="Times New Roman" w:eastAsiaTheme="minorEastAsia" w:hAnsi="Times New Roman" w:cs="Times New Roman"/>
          <w:color w:val="1F5E9A"/>
          <w:kern w:val="2"/>
        </w:rPr>
        <w:t xml:space="preserve"> and Prosper’s transition toward institutional capital in the U.S. with Zopa and Funding Circle’s strategic shifts in the U.K., highlighting how business model legacies, investor composition, and product diversification shaped their respective paths. We hope that this cross-case analysis helps to address the reviewer’s concerns about comparative logic and analytic rigor.</w:t>
      </w:r>
    </w:p>
    <w:p w14:paraId="2E727AC8" w14:textId="77777777" w:rsidR="00DB2359" w:rsidRDefault="00DB2359" w:rsidP="00D96FC7">
      <w:pPr>
        <w:widowControl w:val="0"/>
        <w:jc w:val="both"/>
        <w:rPr>
          <w:rFonts w:ascii="Times New Roman" w:eastAsiaTheme="minorEastAsia" w:hAnsi="Times New Roman" w:cs="Times New Roman"/>
          <w:color w:val="000033"/>
          <w:kern w:val="2"/>
        </w:rPr>
      </w:pPr>
    </w:p>
    <w:p w14:paraId="3376DD97" w14:textId="77777777" w:rsidR="00CD44FD"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br/>
        <w:t>Fourth, the cross-platform synthesis deserves deeper attention. Section 5.9, where you bring the cases together, is too brief given its importance. Expanding this section to develop clear cross-case insights—particularly regarding the clustering of transformations between 2019 and 2021—would help readers see broader patterns. The role of institutional investors also merits fuller discussion: many platforms' pivots appear to have been shaped by the influx of institutional capital and its associated due-diligence requirements. This is a potentially powerful explanatory mechanism that deserves a more explicit place in your analysis.</w:t>
      </w:r>
    </w:p>
    <w:p w14:paraId="46DFDE21" w14:textId="77777777" w:rsidR="00CD44FD" w:rsidRDefault="00CD44FD" w:rsidP="00D96FC7">
      <w:pPr>
        <w:widowControl w:val="0"/>
        <w:jc w:val="both"/>
        <w:rPr>
          <w:rFonts w:ascii="Times New Roman" w:eastAsiaTheme="minorEastAsia" w:hAnsi="Times New Roman" w:cs="Times New Roman"/>
          <w:color w:val="000033"/>
          <w:kern w:val="2"/>
        </w:rPr>
      </w:pPr>
    </w:p>
    <w:p w14:paraId="5A5DE345" w14:textId="65CF92FE" w:rsidR="00CD44FD" w:rsidRPr="00320073" w:rsidRDefault="00CD44FD" w:rsidP="00CD44FD">
      <w:pPr>
        <w:widowControl w:val="0"/>
        <w:jc w:val="both"/>
        <w:rPr>
          <w:rFonts w:ascii="Times New Roman" w:eastAsiaTheme="minorEastAsia" w:hAnsi="Times New Roman" w:cs="Times New Roman"/>
          <w:color w:val="1F5E9A"/>
          <w:kern w:val="2"/>
        </w:rPr>
      </w:pPr>
      <w:r w:rsidRPr="00320073">
        <w:rPr>
          <w:rFonts w:ascii="Times New Roman" w:eastAsiaTheme="minorEastAsia" w:hAnsi="Times New Roman" w:cs="Times New Roman"/>
          <w:color w:val="1F5E9A"/>
          <w:kern w:val="2"/>
        </w:rPr>
        <w:t>We thank the reviewer for highlighting the importance of cross-platform synthesis and for offering constructive suggestions on potential directions for expansion. In response to similar feedback from Reviewer #</w:t>
      </w:r>
      <w:r w:rsidR="00320073">
        <w:rPr>
          <w:rFonts w:ascii="Times New Roman" w:eastAsiaTheme="minorEastAsia" w:hAnsi="Times New Roman" w:cs="Times New Roman"/>
          <w:color w:val="1F5E9A"/>
          <w:kern w:val="2"/>
        </w:rPr>
        <w:t>4</w:t>
      </w:r>
      <w:r w:rsidRPr="00320073">
        <w:rPr>
          <w:rFonts w:ascii="Times New Roman" w:eastAsiaTheme="minorEastAsia" w:hAnsi="Times New Roman" w:cs="Times New Roman"/>
          <w:color w:val="1F5E9A"/>
          <w:kern w:val="2"/>
        </w:rPr>
        <w:t>, we introduced Section 5.9, which provides a comparative analysis of two pairs of platforms—</w:t>
      </w:r>
      <w:proofErr w:type="spellStart"/>
      <w:r w:rsidRPr="00320073">
        <w:rPr>
          <w:rFonts w:ascii="Times New Roman" w:eastAsiaTheme="minorEastAsia" w:hAnsi="Times New Roman" w:cs="Times New Roman"/>
          <w:color w:val="1F5E9A"/>
          <w:kern w:val="2"/>
        </w:rPr>
        <w:t>LendingClub</w:t>
      </w:r>
      <w:proofErr w:type="spellEnd"/>
      <w:r w:rsidRPr="00320073">
        <w:rPr>
          <w:rFonts w:ascii="Times New Roman" w:eastAsiaTheme="minorEastAsia" w:hAnsi="Times New Roman" w:cs="Times New Roman"/>
          <w:color w:val="1F5E9A"/>
          <w:kern w:val="2"/>
        </w:rPr>
        <w:t xml:space="preserve"> vs. Prosper and Zopa vs. Funding Circle—operating under broadly similar regulatory environments but exhibiting divergent strategic responses. This section discusses the timing of transformations, the interplay between regulatory design and internal capabilities, and the influence of institutional capital where applicable. We further extended this line of discussion in Section 6.3 of the Discussion, which reflects on how different platform strategies contributed to the erosion of the original P2P model.</w:t>
      </w:r>
    </w:p>
    <w:p w14:paraId="5EE4C114" w14:textId="77777777" w:rsidR="00CD44FD" w:rsidRPr="00320073" w:rsidRDefault="00CD44FD" w:rsidP="00CD44FD">
      <w:pPr>
        <w:widowControl w:val="0"/>
        <w:jc w:val="both"/>
        <w:rPr>
          <w:rFonts w:ascii="Times New Roman" w:eastAsiaTheme="minorEastAsia" w:hAnsi="Times New Roman" w:cs="Times New Roman"/>
          <w:color w:val="1F5E9A"/>
          <w:kern w:val="2"/>
        </w:rPr>
      </w:pPr>
    </w:p>
    <w:p w14:paraId="1B41A0AD" w14:textId="77777777" w:rsidR="00176244" w:rsidRDefault="00CD44FD" w:rsidP="00CD44FD">
      <w:pPr>
        <w:widowControl w:val="0"/>
        <w:jc w:val="both"/>
        <w:rPr>
          <w:rFonts w:ascii="Times New Roman" w:eastAsiaTheme="minorEastAsia" w:hAnsi="Times New Roman" w:cs="Times New Roman"/>
          <w:color w:val="1F5E9A"/>
          <w:kern w:val="2"/>
        </w:rPr>
      </w:pPr>
      <w:r w:rsidRPr="00320073">
        <w:rPr>
          <w:rFonts w:ascii="Times New Roman" w:eastAsiaTheme="minorEastAsia" w:hAnsi="Times New Roman" w:cs="Times New Roman"/>
          <w:color w:val="1F5E9A"/>
          <w:kern w:val="2"/>
        </w:rPr>
        <w:t xml:space="preserve">While we recognize that a more formalized synthesis (e.g., summary tables, typologies of investor composition, or timeline analysis) could provide additional analytic structure, we chose to focus the core of this study on platform-specific dynamics and their interaction with regulatory environments. The objective of our paper is to understand how platform fragilities and external pressures co-evolve, rather than to </w:t>
      </w:r>
      <w:r w:rsidRPr="00320073">
        <w:rPr>
          <w:rFonts w:ascii="Times New Roman" w:eastAsiaTheme="minorEastAsia" w:hAnsi="Times New Roman" w:cs="Times New Roman"/>
          <w:color w:val="1F5E9A"/>
          <w:kern w:val="2"/>
        </w:rPr>
        <w:lastRenderedPageBreak/>
        <w:t>generalize platform behavior across a taxonomy. As such, we see cross-platform comparisons as valuable for contextualizing individual trajectories and drawing interpretive insights—particularly in the Discussion section—but not as the central explanatory device of our framework. We nonetheless agree that the role of institutional capital and its regulatory consequences is a rich area for future inquiry and have flagged it accordingly in our concluding remarks.</w:t>
      </w:r>
      <w:r w:rsidR="00D96FC7" w:rsidRPr="00320073">
        <w:rPr>
          <w:rFonts w:ascii="Times New Roman" w:eastAsiaTheme="minorEastAsia" w:hAnsi="Times New Roman" w:cs="Times New Roman"/>
          <w:color w:val="1F5E9A"/>
          <w:kern w:val="2"/>
        </w:rPr>
        <w:br/>
      </w:r>
    </w:p>
    <w:p w14:paraId="66BC59CA" w14:textId="7487DD4C" w:rsidR="00CD44FD" w:rsidRDefault="00D96FC7" w:rsidP="00CD44FD">
      <w:pPr>
        <w:widowControl w:val="0"/>
        <w:jc w:val="both"/>
        <w:rPr>
          <w:rFonts w:ascii="Times New Roman" w:eastAsiaTheme="minorEastAsia" w:hAnsi="Times New Roman" w:cs="Times New Roman"/>
          <w:color w:val="000033"/>
          <w:kern w:val="2"/>
        </w:rPr>
      </w:pPr>
      <w:r w:rsidRPr="00320073">
        <w:rPr>
          <w:rFonts w:ascii="Times New Roman" w:eastAsiaTheme="minorEastAsia" w:hAnsi="Times New Roman" w:cs="Times New Roman"/>
          <w:color w:val="1F5E9A"/>
          <w:kern w:val="2"/>
        </w:rPr>
        <w:br/>
      </w:r>
      <w:r w:rsidRPr="00D96FC7">
        <w:rPr>
          <w:rFonts w:ascii="Times New Roman" w:eastAsiaTheme="minorEastAsia" w:hAnsi="Times New Roman" w:cs="Times New Roman"/>
          <w:color w:val="000033"/>
          <w:kern w:val="2"/>
        </w:rPr>
        <w:t xml:space="preserve">Finally, a few presentation and structural issues could be refined. The platform descriptions in Section 4 partly repeat material later in Section </w:t>
      </w:r>
      <w:proofErr w:type="gramStart"/>
      <w:r w:rsidRPr="00D96FC7">
        <w:rPr>
          <w:rFonts w:ascii="Times New Roman" w:eastAsiaTheme="minorEastAsia" w:hAnsi="Times New Roman" w:cs="Times New Roman"/>
          <w:color w:val="000033"/>
          <w:kern w:val="2"/>
        </w:rPr>
        <w:t>5, and</w:t>
      </w:r>
      <w:proofErr w:type="gramEnd"/>
      <w:r w:rsidRPr="00D96FC7">
        <w:rPr>
          <w:rFonts w:ascii="Times New Roman" w:eastAsiaTheme="minorEastAsia" w:hAnsi="Times New Roman" w:cs="Times New Roman"/>
          <w:color w:val="000033"/>
          <w:kern w:val="2"/>
        </w:rPr>
        <w:t xml:space="preserve"> could be streamlined with summary tables or appendices. The regulatory section would benefit from more analytical integration rather than listing developments jurisdiction by jurisdiction. Some claims (for instance, references to a "striking number" of transformations) should be supported by specific evidence or statistics. In addition, it would be useful to include a brief discussion of platforms that resisted transformation, to clarify what distinguishes them from those that did not.</w:t>
      </w:r>
      <w:r w:rsidRPr="00D96FC7">
        <w:rPr>
          <w:rFonts w:ascii="Times New Roman" w:eastAsiaTheme="minorEastAsia" w:hAnsi="Times New Roman" w:cs="Times New Roman"/>
          <w:color w:val="000033"/>
          <w:kern w:val="2"/>
        </w:rPr>
        <w:br/>
      </w:r>
    </w:p>
    <w:p w14:paraId="50639BB8" w14:textId="77777777"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We appreciate the reviewer’s close reading and thoughtful suggestions regarding the structure, evidence base, and comparative completeness of the manuscript.</w:t>
      </w:r>
    </w:p>
    <w:p w14:paraId="1859BFA8" w14:textId="77777777" w:rsidR="004651EB" w:rsidRPr="004651EB" w:rsidRDefault="004651EB" w:rsidP="004651EB">
      <w:pPr>
        <w:widowControl w:val="0"/>
        <w:jc w:val="both"/>
        <w:rPr>
          <w:rFonts w:ascii="Times New Roman" w:eastAsiaTheme="minorEastAsia" w:hAnsi="Times New Roman" w:cs="Times New Roman"/>
          <w:color w:val="1F5E9A"/>
          <w:kern w:val="2"/>
        </w:rPr>
      </w:pPr>
    </w:p>
    <w:p w14:paraId="461A5364" w14:textId="55E4F5E2"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 xml:space="preserve">Regarding the potential repetition between Sections 4 and 5, we would like to clarify that these two sections serve distinct analytical purposes. Section 4 focuses on internal drivers of transformation at the platform level and follows a structured analysis based on questions outlined at the beginning of the section (e.g., what changed in platform design, revenue model, or user strategy). </w:t>
      </w:r>
      <w:r>
        <w:rPr>
          <w:rFonts w:ascii="Times New Roman" w:eastAsiaTheme="minorEastAsia" w:hAnsi="Times New Roman" w:cs="Times New Roman"/>
          <w:color w:val="1F5E9A"/>
          <w:kern w:val="2"/>
        </w:rPr>
        <w:t>On the other hand</w:t>
      </w:r>
      <w:r w:rsidRPr="004651EB">
        <w:rPr>
          <w:rFonts w:ascii="Times New Roman" w:eastAsiaTheme="minorEastAsia" w:hAnsi="Times New Roman" w:cs="Times New Roman"/>
          <w:color w:val="1F5E9A"/>
          <w:kern w:val="2"/>
        </w:rPr>
        <w:t>, Section 5 shifts the analytical lens to the external regulatory environments shaping platform trajectories. While some overlap in descriptive content is unavoidable for contextual continuity, we believe that this division enhances clarity and supports the overall analytical progression of the paper.</w:t>
      </w:r>
    </w:p>
    <w:p w14:paraId="7AFE087A" w14:textId="77777777" w:rsidR="004651EB" w:rsidRPr="004651EB" w:rsidRDefault="004651EB" w:rsidP="004651EB">
      <w:pPr>
        <w:widowControl w:val="0"/>
        <w:jc w:val="both"/>
        <w:rPr>
          <w:rFonts w:ascii="Times New Roman" w:eastAsiaTheme="minorEastAsia" w:hAnsi="Times New Roman" w:cs="Times New Roman"/>
          <w:color w:val="1F5E9A"/>
          <w:kern w:val="2"/>
        </w:rPr>
      </w:pPr>
    </w:p>
    <w:p w14:paraId="7E9838C3" w14:textId="77777777"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 xml:space="preserve">As for the phrase “a striking number of P2P platforms,” we acknowledge that the original wording lacked direct statistical support. Upon review of the available literature, we found that while multiple case studies document such transformations, comprehensive global statistics remain limited. We have therefore revised the sentence in the manuscript to a more cautious and verifiable formulation: </w:t>
      </w:r>
      <w:r w:rsidRPr="004651EB">
        <w:rPr>
          <w:rFonts w:ascii="Times New Roman" w:eastAsiaTheme="minorEastAsia" w:hAnsi="Times New Roman" w:cs="Times New Roman"/>
          <w:i/>
          <w:iCs/>
          <w:color w:val="1F5E9A"/>
          <w:kern w:val="2"/>
        </w:rPr>
        <w:t>“Several once-prominent P2P platforms have either permanently exited the peer-to-peer lending space or restructured their business models to prioritize institutional funding or integrated banking services.”</w:t>
      </w:r>
      <w:r w:rsidRPr="004651EB">
        <w:rPr>
          <w:rFonts w:ascii="Times New Roman" w:eastAsiaTheme="minorEastAsia" w:hAnsi="Times New Roman" w:cs="Times New Roman"/>
          <w:color w:val="1F5E9A"/>
          <w:kern w:val="2"/>
        </w:rPr>
        <w:t xml:space="preserve"> This revised formulation aligns more closely with the empirical evidence presented in the paper.</w:t>
      </w:r>
    </w:p>
    <w:p w14:paraId="30C68834" w14:textId="77777777" w:rsidR="004651EB" w:rsidRPr="004651EB" w:rsidRDefault="004651EB" w:rsidP="004651EB">
      <w:pPr>
        <w:widowControl w:val="0"/>
        <w:jc w:val="both"/>
        <w:rPr>
          <w:rFonts w:ascii="Times New Roman" w:eastAsiaTheme="minorEastAsia" w:hAnsi="Times New Roman" w:cs="Times New Roman"/>
          <w:color w:val="1F5E9A"/>
          <w:kern w:val="2"/>
        </w:rPr>
      </w:pPr>
    </w:p>
    <w:p w14:paraId="4B63F401" w14:textId="77777777"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 xml:space="preserve">Finally, in response to the suggestion to discuss platforms that resisted transformation, we would like to note that Section 5.9 was designed to address precisely this issue. There, we compare platforms such as </w:t>
      </w:r>
      <w:proofErr w:type="spellStart"/>
      <w:r w:rsidRPr="004651EB">
        <w:rPr>
          <w:rFonts w:ascii="Times New Roman" w:eastAsiaTheme="minorEastAsia" w:hAnsi="Times New Roman" w:cs="Times New Roman"/>
          <w:color w:val="1F5E9A"/>
          <w:kern w:val="2"/>
        </w:rPr>
        <w:t>LendingClub</w:t>
      </w:r>
      <w:proofErr w:type="spellEnd"/>
      <w:r w:rsidRPr="004651EB">
        <w:rPr>
          <w:rFonts w:ascii="Times New Roman" w:eastAsiaTheme="minorEastAsia" w:hAnsi="Times New Roman" w:cs="Times New Roman"/>
          <w:color w:val="1F5E9A"/>
          <w:kern w:val="2"/>
        </w:rPr>
        <w:t xml:space="preserve"> and Prosper, or Zopa and Funding Circle, to highlight how similar regulatory exposures led to divergent strategic </w:t>
      </w:r>
      <w:r w:rsidRPr="004651EB">
        <w:rPr>
          <w:rFonts w:ascii="Times New Roman" w:eastAsiaTheme="minorEastAsia" w:hAnsi="Times New Roman" w:cs="Times New Roman"/>
          <w:color w:val="1F5E9A"/>
          <w:kern w:val="2"/>
        </w:rPr>
        <w:lastRenderedPageBreak/>
        <w:t>outcomes. This comparative analysis helps surface potential explanatory factors beyond regulatory design, such as differences in platform scale, product scope, and investor composition.</w:t>
      </w:r>
    </w:p>
    <w:p w14:paraId="54949E48" w14:textId="77777777" w:rsidR="004651EB" w:rsidRPr="004651EB" w:rsidRDefault="004651EB" w:rsidP="004651EB">
      <w:pPr>
        <w:widowControl w:val="0"/>
        <w:jc w:val="both"/>
        <w:rPr>
          <w:rFonts w:ascii="Times New Roman" w:eastAsiaTheme="minorEastAsia" w:hAnsi="Times New Roman" w:cs="Times New Roman"/>
          <w:color w:val="1F5E9A"/>
          <w:kern w:val="2"/>
        </w:rPr>
      </w:pPr>
    </w:p>
    <w:p w14:paraId="64891AC7" w14:textId="77777777"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We thank the reviewer again for these constructive comments, which helped us refine the presentation and ensure the manuscript’s empirical claims are well grounded.</w:t>
      </w:r>
    </w:p>
    <w:p w14:paraId="0168E3EE" w14:textId="77777777" w:rsidR="00CD44FD" w:rsidRPr="004651EB" w:rsidRDefault="00CD44FD" w:rsidP="00D96FC7">
      <w:pPr>
        <w:widowControl w:val="0"/>
        <w:jc w:val="both"/>
        <w:rPr>
          <w:rFonts w:ascii="Times New Roman" w:eastAsiaTheme="minorEastAsia" w:hAnsi="Times New Roman" w:cs="Times New Roman"/>
          <w:color w:val="000033"/>
          <w:kern w:val="2"/>
        </w:rPr>
      </w:pPr>
    </w:p>
    <w:p w14:paraId="7BAC04D1" w14:textId="77777777" w:rsidR="004651EB"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br/>
        <w:t>Despite these concerns, I want to emphasize that this paper has strong potential. You have assembled a rich comparative dataset and identified a genuinely important phenomenon. What it now needs is a more explicit theoretical scaffolding and a clearer comparative logic that allows the reader to see not just what happened, but why it happened differently across cases and over time. With these enhancements, your study could make a meaningful contribution to the literature on fintech platform evolution and regulation.</w:t>
      </w:r>
      <w:r w:rsidRPr="00D96FC7">
        <w:rPr>
          <w:rFonts w:ascii="Times New Roman" w:eastAsiaTheme="minorEastAsia" w:hAnsi="Times New Roman" w:cs="Times New Roman"/>
          <w:color w:val="000033"/>
          <w:kern w:val="2"/>
        </w:rPr>
        <w:br/>
      </w:r>
      <w:r w:rsidRPr="00D96FC7">
        <w:rPr>
          <w:rFonts w:ascii="Times New Roman" w:eastAsiaTheme="minorEastAsia" w:hAnsi="Times New Roman" w:cs="Times New Roman"/>
          <w:color w:val="000033"/>
          <w:kern w:val="2"/>
        </w:rPr>
        <w:br/>
        <w:t>I encourage you to focus the next revision on:</w:t>
      </w:r>
      <w:r w:rsidRPr="00D96FC7">
        <w:rPr>
          <w:rFonts w:ascii="Times New Roman" w:eastAsiaTheme="minorEastAsia" w:hAnsi="Times New Roman" w:cs="Times New Roman"/>
          <w:color w:val="000033"/>
          <w:kern w:val="2"/>
        </w:rPr>
        <w:br/>
        <w:t>Embedding the analysis more firmly in platform governance or institutional theory;</w:t>
      </w:r>
      <w:r w:rsidRPr="00D96FC7">
        <w:rPr>
          <w:rFonts w:ascii="Times New Roman" w:eastAsiaTheme="minorEastAsia" w:hAnsi="Times New Roman" w:cs="Times New Roman"/>
          <w:color w:val="000033"/>
          <w:kern w:val="2"/>
        </w:rPr>
        <w:br/>
        <w:t>Clarifying the causal and temporal sequence between regulation and business-model change;</w:t>
      </w:r>
      <w:r w:rsidRPr="00D96FC7">
        <w:rPr>
          <w:rFonts w:ascii="Times New Roman" w:eastAsiaTheme="minorEastAsia" w:hAnsi="Times New Roman" w:cs="Times New Roman"/>
          <w:color w:val="000033"/>
          <w:kern w:val="2"/>
        </w:rPr>
        <w:br/>
        <w:t>Expanding the cross-case comparative synthesis with structured tables; and</w:t>
      </w:r>
      <w:r w:rsidRPr="00D96FC7">
        <w:rPr>
          <w:rFonts w:ascii="Times New Roman" w:eastAsiaTheme="minorEastAsia" w:hAnsi="Times New Roman" w:cs="Times New Roman"/>
          <w:color w:val="000033"/>
          <w:kern w:val="2"/>
        </w:rPr>
        <w:br/>
        <w:t>Acknowledging data limitations while exploring limited primary evidence where possible.</w:t>
      </w:r>
    </w:p>
    <w:p w14:paraId="20E80DEE" w14:textId="77777777" w:rsidR="004651EB" w:rsidRDefault="004651EB" w:rsidP="00D96FC7">
      <w:pPr>
        <w:widowControl w:val="0"/>
        <w:jc w:val="both"/>
        <w:rPr>
          <w:rFonts w:ascii="Times New Roman" w:eastAsiaTheme="minorEastAsia" w:hAnsi="Times New Roman" w:cs="Times New Roman"/>
          <w:color w:val="000033"/>
          <w:kern w:val="2"/>
        </w:rPr>
      </w:pPr>
    </w:p>
    <w:p w14:paraId="52D664DB" w14:textId="77777777"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Thank you very much for these encouraging concluding remarks and for the clear summary of revision priorities. We appreciate the recognition of the manuscript’s potential and the guidance provided for further strengthening its contribution. As detailed in our point-by-point responses above, we have carefully considered each of the points raised and made targeted revisions accordingly. Specifically, we have:</w:t>
      </w:r>
    </w:p>
    <w:p w14:paraId="05E8150E" w14:textId="77777777" w:rsidR="004651EB" w:rsidRPr="004651EB" w:rsidRDefault="004651EB" w:rsidP="004651EB">
      <w:pPr>
        <w:widowControl w:val="0"/>
        <w:jc w:val="both"/>
        <w:rPr>
          <w:rFonts w:ascii="Times New Roman" w:eastAsiaTheme="minorEastAsia" w:hAnsi="Times New Roman" w:cs="Times New Roman"/>
          <w:color w:val="1F5E9A"/>
          <w:kern w:val="2"/>
        </w:rPr>
      </w:pPr>
    </w:p>
    <w:p w14:paraId="337C785A" w14:textId="1B0D9920"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 xml:space="preserve">– Expanded the literature review to better integrate perspectives from platform </w:t>
      </w:r>
      <w:proofErr w:type="gramStart"/>
      <w:r w:rsidRPr="004651EB">
        <w:rPr>
          <w:rFonts w:ascii="Times New Roman" w:eastAsiaTheme="minorEastAsia" w:hAnsi="Times New Roman" w:cs="Times New Roman"/>
          <w:color w:val="1F5E9A"/>
          <w:kern w:val="2"/>
        </w:rPr>
        <w:t>governance;</w:t>
      </w:r>
      <w:proofErr w:type="gramEnd"/>
    </w:p>
    <w:p w14:paraId="4921EC5C" w14:textId="77777777"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 xml:space="preserve">– Clarified our causal reasoning in Section 6.2 while acknowledging the limits of our data in establishing </w:t>
      </w:r>
      <w:proofErr w:type="gramStart"/>
      <w:r w:rsidRPr="004651EB">
        <w:rPr>
          <w:rFonts w:ascii="Times New Roman" w:eastAsiaTheme="minorEastAsia" w:hAnsi="Times New Roman" w:cs="Times New Roman"/>
          <w:color w:val="1F5E9A"/>
          <w:kern w:val="2"/>
        </w:rPr>
        <w:t>directionality;</w:t>
      </w:r>
      <w:proofErr w:type="gramEnd"/>
    </w:p>
    <w:p w14:paraId="35757331" w14:textId="77777777"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 Enhanced the comparative discussion in Section 5.9 to highlight cross-case variation and underlying mechanisms; and</w:t>
      </w:r>
    </w:p>
    <w:p w14:paraId="78B34066" w14:textId="75D0FC9C" w:rsidR="004651EB" w:rsidRPr="004651EB" w:rsidRDefault="004651EB" w:rsidP="004651EB">
      <w:pPr>
        <w:widowControl w:val="0"/>
        <w:jc w:val="both"/>
        <w:rPr>
          <w:rFonts w:ascii="Times New Roman" w:eastAsiaTheme="minorEastAsia" w:hAnsi="Times New Roman" w:cs="Times New Roman"/>
          <w:color w:val="1F5E9A"/>
          <w:kern w:val="2"/>
        </w:rPr>
      </w:pPr>
      <w:r w:rsidRPr="004651EB">
        <w:rPr>
          <w:rFonts w:ascii="Times New Roman" w:eastAsiaTheme="minorEastAsia" w:hAnsi="Times New Roman" w:cs="Times New Roman"/>
          <w:color w:val="1F5E9A"/>
          <w:kern w:val="2"/>
        </w:rPr>
        <w:t>– Addressed the scope and evidence limitations more explicitly in Sections 3.2 and 6.1, including refined wording of empirically unsupported claims.</w:t>
      </w:r>
    </w:p>
    <w:p w14:paraId="29464F43" w14:textId="77777777" w:rsidR="00176244" w:rsidRDefault="00176244" w:rsidP="00D96FC7">
      <w:pPr>
        <w:widowControl w:val="0"/>
        <w:jc w:val="both"/>
        <w:rPr>
          <w:rFonts w:ascii="Times New Roman" w:eastAsiaTheme="minorEastAsia" w:hAnsi="Times New Roman" w:cs="Times New Roman"/>
          <w:color w:val="000033"/>
          <w:kern w:val="2"/>
        </w:rPr>
      </w:pPr>
    </w:p>
    <w:p w14:paraId="458BA43B" w14:textId="683A8D29" w:rsidR="00D96FC7" w:rsidRPr="00D96FC7" w:rsidRDefault="00D96FC7" w:rsidP="00D96FC7">
      <w:pPr>
        <w:widowControl w:val="0"/>
        <w:jc w:val="both"/>
        <w:rPr>
          <w:rFonts w:ascii="Times New Roman" w:eastAsiaTheme="minorEastAsia" w:hAnsi="Times New Roman" w:cs="Times New Roman"/>
          <w:color w:val="000033"/>
          <w:kern w:val="2"/>
        </w:rPr>
      </w:pPr>
      <w:r w:rsidRPr="00D96FC7">
        <w:rPr>
          <w:rFonts w:ascii="Times New Roman" w:eastAsiaTheme="minorEastAsia" w:hAnsi="Times New Roman" w:cs="Times New Roman"/>
          <w:color w:val="000033"/>
          <w:kern w:val="2"/>
        </w:rPr>
        <w:br/>
        <w:t>With these improvements, I believe the paper could be a valuable addition to Financial Innovation's portfolio on fintech transformation and regulatory adaptation.</w:t>
      </w:r>
    </w:p>
    <w:p w14:paraId="7D16EA1A" w14:textId="77777777" w:rsidR="00176244" w:rsidRPr="00176244" w:rsidRDefault="00D96FC7" w:rsidP="00176244">
      <w:pPr>
        <w:rPr>
          <w:rFonts w:ascii="Times New Roman" w:hAnsi="Times New Roman" w:cs="Times New Roman"/>
          <w:color w:val="1F5E9A"/>
        </w:rPr>
      </w:pPr>
      <w:r w:rsidRPr="00D96FC7">
        <w:rPr>
          <w:rFonts w:ascii="Times New Roman" w:hAnsi="Times New Roman" w:cs="Times New Roman"/>
          <w:color w:val="000033"/>
        </w:rPr>
        <w:br/>
      </w:r>
      <w:r w:rsidR="00176244" w:rsidRPr="00176244">
        <w:rPr>
          <w:rFonts w:ascii="Times New Roman" w:hAnsi="Times New Roman" w:cs="Times New Roman"/>
          <w:color w:val="1F5E9A"/>
        </w:rPr>
        <w:t xml:space="preserve">We sincerely thank the reviewer for their thoughtful and constructive feedback, as </w:t>
      </w:r>
      <w:r w:rsidR="00176244" w:rsidRPr="00176244">
        <w:rPr>
          <w:rFonts w:ascii="Times New Roman" w:hAnsi="Times New Roman" w:cs="Times New Roman"/>
          <w:color w:val="1F5E9A"/>
        </w:rPr>
        <w:lastRenderedPageBreak/>
        <w:t>well as for the generous assessment of our paper’s potential contribution to the literature on fintech transformation and regulatory adaptation. We are particularly grateful for the recognition of our empirical scope, comparative ambition, and dual-lens approach integrating internal operational challenges with external regulatory shifts. In revising the manuscript, we have carefully addressed the reviewer’s recommendations regarding theoretical positioning, causal structure, cross-case synthesis, and data transparency. While some limitations related to data availability remain, we have sought to clarify the scope of our claims and strengthen the analytical coherence of our argument. We are hopeful that these revisions bring the manuscript closer to publication standard and align it with the journal’s focus on innovation, governance, and institutional change in digital finance.</w:t>
      </w:r>
    </w:p>
    <w:p w14:paraId="00A2B81A" w14:textId="731FDDAE" w:rsidR="00DA3069" w:rsidRPr="00176244" w:rsidRDefault="00DA3069" w:rsidP="00845583">
      <w:pPr>
        <w:rPr>
          <w:rFonts w:ascii="Times New Roman" w:hAnsi="Times New Roman" w:cs="Times New Roman"/>
          <w:color w:val="000033"/>
        </w:rPr>
      </w:pPr>
    </w:p>
    <w:sectPr w:rsidR="00DA3069" w:rsidRPr="001762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C2"/>
    <w:rsid w:val="00020AC2"/>
    <w:rsid w:val="00024B6E"/>
    <w:rsid w:val="00090F68"/>
    <w:rsid w:val="000C64B1"/>
    <w:rsid w:val="000D614D"/>
    <w:rsid w:val="0010631D"/>
    <w:rsid w:val="001201E4"/>
    <w:rsid w:val="00130331"/>
    <w:rsid w:val="00145EA7"/>
    <w:rsid w:val="00146E69"/>
    <w:rsid w:val="00176244"/>
    <w:rsid w:val="001831A1"/>
    <w:rsid w:val="00187970"/>
    <w:rsid w:val="001A5D04"/>
    <w:rsid w:val="001C7A3D"/>
    <w:rsid w:val="001D275E"/>
    <w:rsid w:val="001E0FBE"/>
    <w:rsid w:val="00225B59"/>
    <w:rsid w:val="002962A6"/>
    <w:rsid w:val="002C0A4A"/>
    <w:rsid w:val="00305C15"/>
    <w:rsid w:val="00317887"/>
    <w:rsid w:val="00320073"/>
    <w:rsid w:val="00330751"/>
    <w:rsid w:val="003B3FBD"/>
    <w:rsid w:val="003C18B4"/>
    <w:rsid w:val="003C3958"/>
    <w:rsid w:val="003F5426"/>
    <w:rsid w:val="00411EFA"/>
    <w:rsid w:val="00453A00"/>
    <w:rsid w:val="004651EB"/>
    <w:rsid w:val="004816C9"/>
    <w:rsid w:val="004A093F"/>
    <w:rsid w:val="004B4A17"/>
    <w:rsid w:val="004C3C94"/>
    <w:rsid w:val="004C5D17"/>
    <w:rsid w:val="004E3A99"/>
    <w:rsid w:val="00554613"/>
    <w:rsid w:val="005921F3"/>
    <w:rsid w:val="005E0ECB"/>
    <w:rsid w:val="00610275"/>
    <w:rsid w:val="006562B1"/>
    <w:rsid w:val="006D6474"/>
    <w:rsid w:val="00703106"/>
    <w:rsid w:val="00710757"/>
    <w:rsid w:val="00713BDB"/>
    <w:rsid w:val="00745B71"/>
    <w:rsid w:val="007546A2"/>
    <w:rsid w:val="00782429"/>
    <w:rsid w:val="007B4F08"/>
    <w:rsid w:val="007C1B21"/>
    <w:rsid w:val="008100C6"/>
    <w:rsid w:val="008124F6"/>
    <w:rsid w:val="00815546"/>
    <w:rsid w:val="00845583"/>
    <w:rsid w:val="00853387"/>
    <w:rsid w:val="0086419D"/>
    <w:rsid w:val="00884D08"/>
    <w:rsid w:val="008E2398"/>
    <w:rsid w:val="008E6DD4"/>
    <w:rsid w:val="009040E1"/>
    <w:rsid w:val="009D38F9"/>
    <w:rsid w:val="009D7857"/>
    <w:rsid w:val="009F7DB7"/>
    <w:rsid w:val="00A33BBF"/>
    <w:rsid w:val="00A81290"/>
    <w:rsid w:val="00AC104A"/>
    <w:rsid w:val="00AC502B"/>
    <w:rsid w:val="00B71048"/>
    <w:rsid w:val="00BA2E76"/>
    <w:rsid w:val="00BA7F58"/>
    <w:rsid w:val="00BB2183"/>
    <w:rsid w:val="00BC00B9"/>
    <w:rsid w:val="00BE157B"/>
    <w:rsid w:val="00C0311D"/>
    <w:rsid w:val="00C04209"/>
    <w:rsid w:val="00C225F1"/>
    <w:rsid w:val="00C54BD0"/>
    <w:rsid w:val="00C658AD"/>
    <w:rsid w:val="00C86DBC"/>
    <w:rsid w:val="00CA313F"/>
    <w:rsid w:val="00CB565C"/>
    <w:rsid w:val="00CC3287"/>
    <w:rsid w:val="00CD44FD"/>
    <w:rsid w:val="00CE1525"/>
    <w:rsid w:val="00CE29E4"/>
    <w:rsid w:val="00D0667D"/>
    <w:rsid w:val="00D96FC7"/>
    <w:rsid w:val="00DA3069"/>
    <w:rsid w:val="00DB2359"/>
    <w:rsid w:val="00DF46EE"/>
    <w:rsid w:val="00E554FB"/>
    <w:rsid w:val="00E60493"/>
    <w:rsid w:val="00E80C3E"/>
    <w:rsid w:val="00E969BC"/>
    <w:rsid w:val="00EB6A2F"/>
    <w:rsid w:val="00F01248"/>
    <w:rsid w:val="00F112A2"/>
    <w:rsid w:val="00F33D88"/>
    <w:rsid w:val="00F361E0"/>
    <w:rsid w:val="00F37C23"/>
    <w:rsid w:val="00F64C3B"/>
    <w:rsid w:val="00F93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5BB6"/>
  <w15:chartTrackingRefBased/>
  <w15:docId w15:val="{75E3F9C7-409F-EE4A-90F7-AF7B98C3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1EB"/>
    <w:rPr>
      <w:rFonts w:ascii="宋体" w:eastAsia="宋体" w:hAnsi="宋体" w:cs="宋体"/>
      <w:kern w:val="0"/>
      <w:sz w:val="24"/>
    </w:rPr>
  </w:style>
  <w:style w:type="paragraph" w:styleId="1">
    <w:name w:val="heading 1"/>
    <w:basedOn w:val="a"/>
    <w:next w:val="a"/>
    <w:link w:val="10"/>
    <w:uiPriority w:val="9"/>
    <w:qFormat/>
    <w:rsid w:val="00020AC2"/>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rPr>
  </w:style>
  <w:style w:type="paragraph" w:styleId="2">
    <w:name w:val="heading 2"/>
    <w:basedOn w:val="a"/>
    <w:next w:val="a"/>
    <w:link w:val="20"/>
    <w:uiPriority w:val="9"/>
    <w:semiHidden/>
    <w:unhideWhenUsed/>
    <w:qFormat/>
    <w:rsid w:val="00020AC2"/>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rPr>
  </w:style>
  <w:style w:type="paragraph" w:styleId="3">
    <w:name w:val="heading 3"/>
    <w:basedOn w:val="a"/>
    <w:next w:val="a"/>
    <w:link w:val="30"/>
    <w:uiPriority w:val="9"/>
    <w:semiHidden/>
    <w:unhideWhenUsed/>
    <w:qFormat/>
    <w:rsid w:val="00020AC2"/>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rPr>
  </w:style>
  <w:style w:type="paragraph" w:styleId="4">
    <w:name w:val="heading 4"/>
    <w:basedOn w:val="a"/>
    <w:next w:val="a"/>
    <w:link w:val="40"/>
    <w:uiPriority w:val="9"/>
    <w:semiHidden/>
    <w:unhideWhenUsed/>
    <w:qFormat/>
    <w:rsid w:val="00020AC2"/>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rPr>
  </w:style>
  <w:style w:type="paragraph" w:styleId="5">
    <w:name w:val="heading 5"/>
    <w:basedOn w:val="a"/>
    <w:next w:val="a"/>
    <w:link w:val="50"/>
    <w:uiPriority w:val="9"/>
    <w:semiHidden/>
    <w:unhideWhenUsed/>
    <w:qFormat/>
    <w:rsid w:val="00020AC2"/>
    <w:pPr>
      <w:keepNext/>
      <w:keepLines/>
      <w:widowControl w:val="0"/>
      <w:spacing w:before="80" w:after="40"/>
      <w:jc w:val="both"/>
      <w:outlineLvl w:val="4"/>
    </w:pPr>
    <w:rPr>
      <w:rFonts w:asciiTheme="minorHAnsi" w:eastAsiaTheme="minorEastAsia" w:hAnsiTheme="minorHAnsi" w:cstheme="majorBidi"/>
      <w:color w:val="0F4761" w:themeColor="accent1" w:themeShade="BF"/>
      <w:kern w:val="2"/>
    </w:rPr>
  </w:style>
  <w:style w:type="paragraph" w:styleId="6">
    <w:name w:val="heading 6"/>
    <w:basedOn w:val="a"/>
    <w:next w:val="a"/>
    <w:link w:val="60"/>
    <w:uiPriority w:val="9"/>
    <w:semiHidden/>
    <w:unhideWhenUsed/>
    <w:qFormat/>
    <w:rsid w:val="00020AC2"/>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rPr>
  </w:style>
  <w:style w:type="paragraph" w:styleId="7">
    <w:name w:val="heading 7"/>
    <w:basedOn w:val="a"/>
    <w:next w:val="a"/>
    <w:link w:val="70"/>
    <w:uiPriority w:val="9"/>
    <w:semiHidden/>
    <w:unhideWhenUsed/>
    <w:qFormat/>
    <w:rsid w:val="00020AC2"/>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rPr>
  </w:style>
  <w:style w:type="paragraph" w:styleId="8">
    <w:name w:val="heading 8"/>
    <w:basedOn w:val="a"/>
    <w:next w:val="a"/>
    <w:link w:val="80"/>
    <w:uiPriority w:val="9"/>
    <w:semiHidden/>
    <w:unhideWhenUsed/>
    <w:qFormat/>
    <w:rsid w:val="00020AC2"/>
    <w:pPr>
      <w:keepNext/>
      <w:keepLines/>
      <w:widowControl w:val="0"/>
      <w:jc w:val="both"/>
      <w:outlineLvl w:val="7"/>
    </w:pPr>
    <w:rPr>
      <w:rFonts w:asciiTheme="minorHAnsi" w:eastAsiaTheme="minorEastAsia" w:hAnsiTheme="minorHAnsi" w:cstheme="majorBidi"/>
      <w:color w:val="595959" w:themeColor="text1" w:themeTint="A6"/>
      <w:kern w:val="2"/>
      <w:sz w:val="21"/>
    </w:rPr>
  </w:style>
  <w:style w:type="paragraph" w:styleId="9">
    <w:name w:val="heading 9"/>
    <w:basedOn w:val="a"/>
    <w:next w:val="a"/>
    <w:link w:val="90"/>
    <w:uiPriority w:val="9"/>
    <w:semiHidden/>
    <w:unhideWhenUsed/>
    <w:qFormat/>
    <w:rsid w:val="00020AC2"/>
    <w:pPr>
      <w:keepNext/>
      <w:keepLines/>
      <w:widowControl w:val="0"/>
      <w:jc w:val="both"/>
      <w:outlineLvl w:val="8"/>
    </w:pPr>
    <w:rPr>
      <w:rFonts w:asciiTheme="minorHAnsi" w:eastAsiaTheme="majorEastAsia" w:hAnsiTheme="minorHAnsi" w:cstheme="majorBidi"/>
      <w:color w:val="595959" w:themeColor="text1" w:themeTint="A6"/>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A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0A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0A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0AC2"/>
    <w:rPr>
      <w:rFonts w:cstheme="majorBidi"/>
      <w:color w:val="0F4761" w:themeColor="accent1" w:themeShade="BF"/>
      <w:sz w:val="28"/>
      <w:szCs w:val="28"/>
    </w:rPr>
  </w:style>
  <w:style w:type="character" w:customStyle="1" w:styleId="50">
    <w:name w:val="标题 5 字符"/>
    <w:basedOn w:val="a0"/>
    <w:link w:val="5"/>
    <w:uiPriority w:val="9"/>
    <w:semiHidden/>
    <w:rsid w:val="00020AC2"/>
    <w:rPr>
      <w:rFonts w:cstheme="majorBidi"/>
      <w:color w:val="0F4761" w:themeColor="accent1" w:themeShade="BF"/>
      <w:sz w:val="24"/>
    </w:rPr>
  </w:style>
  <w:style w:type="character" w:customStyle="1" w:styleId="60">
    <w:name w:val="标题 6 字符"/>
    <w:basedOn w:val="a0"/>
    <w:link w:val="6"/>
    <w:uiPriority w:val="9"/>
    <w:semiHidden/>
    <w:rsid w:val="00020AC2"/>
    <w:rPr>
      <w:rFonts w:cstheme="majorBidi"/>
      <w:b/>
      <w:bCs/>
      <w:color w:val="0F4761" w:themeColor="accent1" w:themeShade="BF"/>
    </w:rPr>
  </w:style>
  <w:style w:type="character" w:customStyle="1" w:styleId="70">
    <w:name w:val="标题 7 字符"/>
    <w:basedOn w:val="a0"/>
    <w:link w:val="7"/>
    <w:uiPriority w:val="9"/>
    <w:semiHidden/>
    <w:rsid w:val="00020AC2"/>
    <w:rPr>
      <w:rFonts w:cstheme="majorBidi"/>
      <w:b/>
      <w:bCs/>
      <w:color w:val="595959" w:themeColor="text1" w:themeTint="A6"/>
    </w:rPr>
  </w:style>
  <w:style w:type="character" w:customStyle="1" w:styleId="80">
    <w:name w:val="标题 8 字符"/>
    <w:basedOn w:val="a0"/>
    <w:link w:val="8"/>
    <w:uiPriority w:val="9"/>
    <w:semiHidden/>
    <w:rsid w:val="00020AC2"/>
    <w:rPr>
      <w:rFonts w:cstheme="majorBidi"/>
      <w:color w:val="595959" w:themeColor="text1" w:themeTint="A6"/>
    </w:rPr>
  </w:style>
  <w:style w:type="character" w:customStyle="1" w:styleId="90">
    <w:name w:val="标题 9 字符"/>
    <w:basedOn w:val="a0"/>
    <w:link w:val="9"/>
    <w:uiPriority w:val="9"/>
    <w:semiHidden/>
    <w:rsid w:val="00020AC2"/>
    <w:rPr>
      <w:rFonts w:eastAsiaTheme="majorEastAsia" w:cstheme="majorBidi"/>
      <w:color w:val="595959" w:themeColor="text1" w:themeTint="A6"/>
    </w:rPr>
  </w:style>
  <w:style w:type="paragraph" w:styleId="a3">
    <w:name w:val="Title"/>
    <w:basedOn w:val="a"/>
    <w:next w:val="a"/>
    <w:link w:val="a4"/>
    <w:uiPriority w:val="10"/>
    <w:qFormat/>
    <w:rsid w:val="00020AC2"/>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A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AC2"/>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020A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AC2"/>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 字符"/>
    <w:basedOn w:val="a0"/>
    <w:link w:val="a7"/>
    <w:uiPriority w:val="29"/>
    <w:rsid w:val="00020AC2"/>
    <w:rPr>
      <w:i/>
      <w:iCs/>
      <w:color w:val="404040" w:themeColor="text1" w:themeTint="BF"/>
    </w:rPr>
  </w:style>
  <w:style w:type="paragraph" w:styleId="a9">
    <w:name w:val="List Paragraph"/>
    <w:basedOn w:val="a"/>
    <w:uiPriority w:val="34"/>
    <w:qFormat/>
    <w:rsid w:val="00020AC2"/>
    <w:pPr>
      <w:widowControl w:val="0"/>
      <w:ind w:left="720"/>
      <w:contextualSpacing/>
      <w:jc w:val="both"/>
    </w:pPr>
    <w:rPr>
      <w:rFonts w:asciiTheme="minorHAnsi" w:eastAsiaTheme="minorEastAsia" w:hAnsiTheme="minorHAnsi" w:cstheme="minorBidi"/>
      <w:kern w:val="2"/>
      <w:sz w:val="21"/>
    </w:rPr>
  </w:style>
  <w:style w:type="character" w:styleId="aa">
    <w:name w:val="Intense Emphasis"/>
    <w:basedOn w:val="a0"/>
    <w:uiPriority w:val="21"/>
    <w:qFormat/>
    <w:rsid w:val="00020AC2"/>
    <w:rPr>
      <w:i/>
      <w:iCs/>
      <w:color w:val="0F4761" w:themeColor="accent1" w:themeShade="BF"/>
    </w:rPr>
  </w:style>
  <w:style w:type="paragraph" w:styleId="ab">
    <w:name w:val="Intense Quote"/>
    <w:basedOn w:val="a"/>
    <w:next w:val="a"/>
    <w:link w:val="ac"/>
    <w:uiPriority w:val="30"/>
    <w:qFormat/>
    <w:rsid w:val="00020AC2"/>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ac">
    <w:name w:val="明显引用 字符"/>
    <w:basedOn w:val="a0"/>
    <w:link w:val="ab"/>
    <w:uiPriority w:val="30"/>
    <w:rsid w:val="00020AC2"/>
    <w:rPr>
      <w:i/>
      <w:iCs/>
      <w:color w:val="0F4761" w:themeColor="accent1" w:themeShade="BF"/>
    </w:rPr>
  </w:style>
  <w:style w:type="character" w:styleId="ad">
    <w:name w:val="Intense Reference"/>
    <w:basedOn w:val="a0"/>
    <w:uiPriority w:val="32"/>
    <w:qFormat/>
    <w:rsid w:val="00020AC2"/>
    <w:rPr>
      <w:b/>
      <w:bCs/>
      <w:smallCaps/>
      <w:color w:val="0F4761" w:themeColor="accent1" w:themeShade="BF"/>
      <w:spacing w:val="5"/>
    </w:rPr>
  </w:style>
  <w:style w:type="paragraph" w:customStyle="1" w:styleId="p1">
    <w:name w:val="p1"/>
    <w:basedOn w:val="a"/>
    <w:rsid w:val="00782429"/>
    <w:pPr>
      <w:spacing w:before="100" w:beforeAutospacing="1" w:after="100" w:afterAutospacing="1"/>
    </w:pPr>
  </w:style>
  <w:style w:type="paragraph" w:customStyle="1" w:styleId="p2">
    <w:name w:val="p2"/>
    <w:basedOn w:val="a"/>
    <w:rsid w:val="006562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439">
      <w:bodyDiv w:val="1"/>
      <w:marLeft w:val="0"/>
      <w:marRight w:val="0"/>
      <w:marTop w:val="0"/>
      <w:marBottom w:val="0"/>
      <w:divBdr>
        <w:top w:val="none" w:sz="0" w:space="0" w:color="auto"/>
        <w:left w:val="none" w:sz="0" w:space="0" w:color="auto"/>
        <w:bottom w:val="none" w:sz="0" w:space="0" w:color="auto"/>
        <w:right w:val="none" w:sz="0" w:space="0" w:color="auto"/>
      </w:divBdr>
      <w:divsChild>
        <w:div w:id="8859872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258110">
      <w:bodyDiv w:val="1"/>
      <w:marLeft w:val="0"/>
      <w:marRight w:val="0"/>
      <w:marTop w:val="0"/>
      <w:marBottom w:val="0"/>
      <w:divBdr>
        <w:top w:val="none" w:sz="0" w:space="0" w:color="auto"/>
        <w:left w:val="none" w:sz="0" w:space="0" w:color="auto"/>
        <w:bottom w:val="none" w:sz="0" w:space="0" w:color="auto"/>
        <w:right w:val="none" w:sz="0" w:space="0" w:color="auto"/>
      </w:divBdr>
    </w:div>
    <w:div w:id="77941826">
      <w:bodyDiv w:val="1"/>
      <w:marLeft w:val="0"/>
      <w:marRight w:val="0"/>
      <w:marTop w:val="0"/>
      <w:marBottom w:val="0"/>
      <w:divBdr>
        <w:top w:val="none" w:sz="0" w:space="0" w:color="auto"/>
        <w:left w:val="none" w:sz="0" w:space="0" w:color="auto"/>
        <w:bottom w:val="none" w:sz="0" w:space="0" w:color="auto"/>
        <w:right w:val="none" w:sz="0" w:space="0" w:color="auto"/>
      </w:divBdr>
    </w:div>
    <w:div w:id="84612876">
      <w:bodyDiv w:val="1"/>
      <w:marLeft w:val="0"/>
      <w:marRight w:val="0"/>
      <w:marTop w:val="0"/>
      <w:marBottom w:val="0"/>
      <w:divBdr>
        <w:top w:val="none" w:sz="0" w:space="0" w:color="auto"/>
        <w:left w:val="none" w:sz="0" w:space="0" w:color="auto"/>
        <w:bottom w:val="none" w:sz="0" w:space="0" w:color="auto"/>
        <w:right w:val="none" w:sz="0" w:space="0" w:color="auto"/>
      </w:divBdr>
    </w:div>
    <w:div w:id="102892559">
      <w:bodyDiv w:val="1"/>
      <w:marLeft w:val="0"/>
      <w:marRight w:val="0"/>
      <w:marTop w:val="0"/>
      <w:marBottom w:val="0"/>
      <w:divBdr>
        <w:top w:val="none" w:sz="0" w:space="0" w:color="auto"/>
        <w:left w:val="none" w:sz="0" w:space="0" w:color="auto"/>
        <w:bottom w:val="none" w:sz="0" w:space="0" w:color="auto"/>
        <w:right w:val="none" w:sz="0" w:space="0" w:color="auto"/>
      </w:divBdr>
    </w:div>
    <w:div w:id="174347117">
      <w:bodyDiv w:val="1"/>
      <w:marLeft w:val="0"/>
      <w:marRight w:val="0"/>
      <w:marTop w:val="0"/>
      <w:marBottom w:val="0"/>
      <w:divBdr>
        <w:top w:val="none" w:sz="0" w:space="0" w:color="auto"/>
        <w:left w:val="none" w:sz="0" w:space="0" w:color="auto"/>
        <w:bottom w:val="none" w:sz="0" w:space="0" w:color="auto"/>
        <w:right w:val="none" w:sz="0" w:space="0" w:color="auto"/>
      </w:divBdr>
    </w:div>
    <w:div w:id="276641524">
      <w:bodyDiv w:val="1"/>
      <w:marLeft w:val="0"/>
      <w:marRight w:val="0"/>
      <w:marTop w:val="0"/>
      <w:marBottom w:val="0"/>
      <w:divBdr>
        <w:top w:val="none" w:sz="0" w:space="0" w:color="auto"/>
        <w:left w:val="none" w:sz="0" w:space="0" w:color="auto"/>
        <w:bottom w:val="none" w:sz="0" w:space="0" w:color="auto"/>
        <w:right w:val="none" w:sz="0" w:space="0" w:color="auto"/>
      </w:divBdr>
    </w:div>
    <w:div w:id="296226676">
      <w:bodyDiv w:val="1"/>
      <w:marLeft w:val="0"/>
      <w:marRight w:val="0"/>
      <w:marTop w:val="0"/>
      <w:marBottom w:val="0"/>
      <w:divBdr>
        <w:top w:val="none" w:sz="0" w:space="0" w:color="auto"/>
        <w:left w:val="none" w:sz="0" w:space="0" w:color="auto"/>
        <w:bottom w:val="none" w:sz="0" w:space="0" w:color="auto"/>
        <w:right w:val="none" w:sz="0" w:space="0" w:color="auto"/>
      </w:divBdr>
    </w:div>
    <w:div w:id="438720957">
      <w:bodyDiv w:val="1"/>
      <w:marLeft w:val="0"/>
      <w:marRight w:val="0"/>
      <w:marTop w:val="0"/>
      <w:marBottom w:val="0"/>
      <w:divBdr>
        <w:top w:val="none" w:sz="0" w:space="0" w:color="auto"/>
        <w:left w:val="none" w:sz="0" w:space="0" w:color="auto"/>
        <w:bottom w:val="none" w:sz="0" w:space="0" w:color="auto"/>
        <w:right w:val="none" w:sz="0" w:space="0" w:color="auto"/>
      </w:divBdr>
    </w:div>
    <w:div w:id="495994412">
      <w:bodyDiv w:val="1"/>
      <w:marLeft w:val="0"/>
      <w:marRight w:val="0"/>
      <w:marTop w:val="0"/>
      <w:marBottom w:val="0"/>
      <w:divBdr>
        <w:top w:val="none" w:sz="0" w:space="0" w:color="auto"/>
        <w:left w:val="none" w:sz="0" w:space="0" w:color="auto"/>
        <w:bottom w:val="none" w:sz="0" w:space="0" w:color="auto"/>
        <w:right w:val="none" w:sz="0" w:space="0" w:color="auto"/>
      </w:divBdr>
    </w:div>
    <w:div w:id="568615514">
      <w:bodyDiv w:val="1"/>
      <w:marLeft w:val="0"/>
      <w:marRight w:val="0"/>
      <w:marTop w:val="0"/>
      <w:marBottom w:val="0"/>
      <w:divBdr>
        <w:top w:val="none" w:sz="0" w:space="0" w:color="auto"/>
        <w:left w:val="none" w:sz="0" w:space="0" w:color="auto"/>
        <w:bottom w:val="none" w:sz="0" w:space="0" w:color="auto"/>
        <w:right w:val="none" w:sz="0" w:space="0" w:color="auto"/>
      </w:divBdr>
    </w:div>
    <w:div w:id="617640774">
      <w:bodyDiv w:val="1"/>
      <w:marLeft w:val="0"/>
      <w:marRight w:val="0"/>
      <w:marTop w:val="0"/>
      <w:marBottom w:val="0"/>
      <w:divBdr>
        <w:top w:val="none" w:sz="0" w:space="0" w:color="auto"/>
        <w:left w:val="none" w:sz="0" w:space="0" w:color="auto"/>
        <w:bottom w:val="none" w:sz="0" w:space="0" w:color="auto"/>
        <w:right w:val="none" w:sz="0" w:space="0" w:color="auto"/>
      </w:divBdr>
    </w:div>
    <w:div w:id="623391195">
      <w:bodyDiv w:val="1"/>
      <w:marLeft w:val="0"/>
      <w:marRight w:val="0"/>
      <w:marTop w:val="0"/>
      <w:marBottom w:val="0"/>
      <w:divBdr>
        <w:top w:val="none" w:sz="0" w:space="0" w:color="auto"/>
        <w:left w:val="none" w:sz="0" w:space="0" w:color="auto"/>
        <w:bottom w:val="none" w:sz="0" w:space="0" w:color="auto"/>
        <w:right w:val="none" w:sz="0" w:space="0" w:color="auto"/>
      </w:divBdr>
    </w:div>
    <w:div w:id="918368159">
      <w:bodyDiv w:val="1"/>
      <w:marLeft w:val="0"/>
      <w:marRight w:val="0"/>
      <w:marTop w:val="0"/>
      <w:marBottom w:val="0"/>
      <w:divBdr>
        <w:top w:val="none" w:sz="0" w:space="0" w:color="auto"/>
        <w:left w:val="none" w:sz="0" w:space="0" w:color="auto"/>
        <w:bottom w:val="none" w:sz="0" w:space="0" w:color="auto"/>
        <w:right w:val="none" w:sz="0" w:space="0" w:color="auto"/>
      </w:divBdr>
    </w:div>
    <w:div w:id="1038899582">
      <w:bodyDiv w:val="1"/>
      <w:marLeft w:val="0"/>
      <w:marRight w:val="0"/>
      <w:marTop w:val="0"/>
      <w:marBottom w:val="0"/>
      <w:divBdr>
        <w:top w:val="none" w:sz="0" w:space="0" w:color="auto"/>
        <w:left w:val="none" w:sz="0" w:space="0" w:color="auto"/>
        <w:bottom w:val="none" w:sz="0" w:space="0" w:color="auto"/>
        <w:right w:val="none" w:sz="0" w:space="0" w:color="auto"/>
      </w:divBdr>
    </w:div>
    <w:div w:id="1096828014">
      <w:bodyDiv w:val="1"/>
      <w:marLeft w:val="0"/>
      <w:marRight w:val="0"/>
      <w:marTop w:val="0"/>
      <w:marBottom w:val="0"/>
      <w:divBdr>
        <w:top w:val="none" w:sz="0" w:space="0" w:color="auto"/>
        <w:left w:val="none" w:sz="0" w:space="0" w:color="auto"/>
        <w:bottom w:val="none" w:sz="0" w:space="0" w:color="auto"/>
        <w:right w:val="none" w:sz="0" w:space="0" w:color="auto"/>
      </w:divBdr>
    </w:div>
    <w:div w:id="1129860387">
      <w:bodyDiv w:val="1"/>
      <w:marLeft w:val="0"/>
      <w:marRight w:val="0"/>
      <w:marTop w:val="0"/>
      <w:marBottom w:val="0"/>
      <w:divBdr>
        <w:top w:val="none" w:sz="0" w:space="0" w:color="auto"/>
        <w:left w:val="none" w:sz="0" w:space="0" w:color="auto"/>
        <w:bottom w:val="none" w:sz="0" w:space="0" w:color="auto"/>
        <w:right w:val="none" w:sz="0" w:space="0" w:color="auto"/>
      </w:divBdr>
    </w:div>
    <w:div w:id="1165051436">
      <w:bodyDiv w:val="1"/>
      <w:marLeft w:val="0"/>
      <w:marRight w:val="0"/>
      <w:marTop w:val="0"/>
      <w:marBottom w:val="0"/>
      <w:divBdr>
        <w:top w:val="none" w:sz="0" w:space="0" w:color="auto"/>
        <w:left w:val="none" w:sz="0" w:space="0" w:color="auto"/>
        <w:bottom w:val="none" w:sz="0" w:space="0" w:color="auto"/>
        <w:right w:val="none" w:sz="0" w:space="0" w:color="auto"/>
      </w:divBdr>
    </w:div>
    <w:div w:id="1170873881">
      <w:bodyDiv w:val="1"/>
      <w:marLeft w:val="0"/>
      <w:marRight w:val="0"/>
      <w:marTop w:val="0"/>
      <w:marBottom w:val="0"/>
      <w:divBdr>
        <w:top w:val="none" w:sz="0" w:space="0" w:color="auto"/>
        <w:left w:val="none" w:sz="0" w:space="0" w:color="auto"/>
        <w:bottom w:val="none" w:sz="0" w:space="0" w:color="auto"/>
        <w:right w:val="none" w:sz="0" w:space="0" w:color="auto"/>
      </w:divBdr>
    </w:div>
    <w:div w:id="1304196492">
      <w:bodyDiv w:val="1"/>
      <w:marLeft w:val="0"/>
      <w:marRight w:val="0"/>
      <w:marTop w:val="0"/>
      <w:marBottom w:val="0"/>
      <w:divBdr>
        <w:top w:val="none" w:sz="0" w:space="0" w:color="auto"/>
        <w:left w:val="none" w:sz="0" w:space="0" w:color="auto"/>
        <w:bottom w:val="none" w:sz="0" w:space="0" w:color="auto"/>
        <w:right w:val="none" w:sz="0" w:space="0" w:color="auto"/>
      </w:divBdr>
    </w:div>
    <w:div w:id="1379551833">
      <w:bodyDiv w:val="1"/>
      <w:marLeft w:val="0"/>
      <w:marRight w:val="0"/>
      <w:marTop w:val="0"/>
      <w:marBottom w:val="0"/>
      <w:divBdr>
        <w:top w:val="none" w:sz="0" w:space="0" w:color="auto"/>
        <w:left w:val="none" w:sz="0" w:space="0" w:color="auto"/>
        <w:bottom w:val="none" w:sz="0" w:space="0" w:color="auto"/>
        <w:right w:val="none" w:sz="0" w:space="0" w:color="auto"/>
      </w:divBdr>
    </w:div>
    <w:div w:id="1594704189">
      <w:bodyDiv w:val="1"/>
      <w:marLeft w:val="0"/>
      <w:marRight w:val="0"/>
      <w:marTop w:val="0"/>
      <w:marBottom w:val="0"/>
      <w:divBdr>
        <w:top w:val="none" w:sz="0" w:space="0" w:color="auto"/>
        <w:left w:val="none" w:sz="0" w:space="0" w:color="auto"/>
        <w:bottom w:val="none" w:sz="0" w:space="0" w:color="auto"/>
        <w:right w:val="none" w:sz="0" w:space="0" w:color="auto"/>
      </w:divBdr>
    </w:div>
    <w:div w:id="1633486495">
      <w:bodyDiv w:val="1"/>
      <w:marLeft w:val="0"/>
      <w:marRight w:val="0"/>
      <w:marTop w:val="0"/>
      <w:marBottom w:val="0"/>
      <w:divBdr>
        <w:top w:val="none" w:sz="0" w:space="0" w:color="auto"/>
        <w:left w:val="none" w:sz="0" w:space="0" w:color="auto"/>
        <w:bottom w:val="none" w:sz="0" w:space="0" w:color="auto"/>
        <w:right w:val="none" w:sz="0" w:space="0" w:color="auto"/>
      </w:divBdr>
    </w:div>
    <w:div w:id="1666860922">
      <w:bodyDiv w:val="1"/>
      <w:marLeft w:val="0"/>
      <w:marRight w:val="0"/>
      <w:marTop w:val="0"/>
      <w:marBottom w:val="0"/>
      <w:divBdr>
        <w:top w:val="none" w:sz="0" w:space="0" w:color="auto"/>
        <w:left w:val="none" w:sz="0" w:space="0" w:color="auto"/>
        <w:bottom w:val="none" w:sz="0" w:space="0" w:color="auto"/>
        <w:right w:val="none" w:sz="0" w:space="0" w:color="auto"/>
      </w:divBdr>
    </w:div>
    <w:div w:id="1672878169">
      <w:bodyDiv w:val="1"/>
      <w:marLeft w:val="0"/>
      <w:marRight w:val="0"/>
      <w:marTop w:val="0"/>
      <w:marBottom w:val="0"/>
      <w:divBdr>
        <w:top w:val="none" w:sz="0" w:space="0" w:color="auto"/>
        <w:left w:val="none" w:sz="0" w:space="0" w:color="auto"/>
        <w:bottom w:val="none" w:sz="0" w:space="0" w:color="auto"/>
        <w:right w:val="none" w:sz="0" w:space="0" w:color="auto"/>
      </w:divBdr>
    </w:div>
    <w:div w:id="1721899972">
      <w:bodyDiv w:val="1"/>
      <w:marLeft w:val="0"/>
      <w:marRight w:val="0"/>
      <w:marTop w:val="0"/>
      <w:marBottom w:val="0"/>
      <w:divBdr>
        <w:top w:val="none" w:sz="0" w:space="0" w:color="auto"/>
        <w:left w:val="none" w:sz="0" w:space="0" w:color="auto"/>
        <w:bottom w:val="none" w:sz="0" w:space="0" w:color="auto"/>
        <w:right w:val="none" w:sz="0" w:space="0" w:color="auto"/>
      </w:divBdr>
    </w:div>
    <w:div w:id="1881895832">
      <w:bodyDiv w:val="1"/>
      <w:marLeft w:val="0"/>
      <w:marRight w:val="0"/>
      <w:marTop w:val="0"/>
      <w:marBottom w:val="0"/>
      <w:divBdr>
        <w:top w:val="none" w:sz="0" w:space="0" w:color="auto"/>
        <w:left w:val="none" w:sz="0" w:space="0" w:color="auto"/>
        <w:bottom w:val="none" w:sz="0" w:space="0" w:color="auto"/>
        <w:right w:val="none" w:sz="0" w:space="0" w:color="auto"/>
      </w:divBdr>
    </w:div>
    <w:div w:id="1885289169">
      <w:bodyDiv w:val="1"/>
      <w:marLeft w:val="0"/>
      <w:marRight w:val="0"/>
      <w:marTop w:val="0"/>
      <w:marBottom w:val="0"/>
      <w:divBdr>
        <w:top w:val="none" w:sz="0" w:space="0" w:color="auto"/>
        <w:left w:val="none" w:sz="0" w:space="0" w:color="auto"/>
        <w:bottom w:val="none" w:sz="0" w:space="0" w:color="auto"/>
        <w:right w:val="none" w:sz="0" w:space="0" w:color="auto"/>
      </w:divBdr>
    </w:div>
    <w:div w:id="1934897917">
      <w:bodyDiv w:val="1"/>
      <w:marLeft w:val="0"/>
      <w:marRight w:val="0"/>
      <w:marTop w:val="0"/>
      <w:marBottom w:val="0"/>
      <w:divBdr>
        <w:top w:val="none" w:sz="0" w:space="0" w:color="auto"/>
        <w:left w:val="none" w:sz="0" w:space="0" w:color="auto"/>
        <w:bottom w:val="none" w:sz="0" w:space="0" w:color="auto"/>
        <w:right w:val="none" w:sz="0" w:space="0" w:color="auto"/>
      </w:divBdr>
    </w:div>
    <w:div w:id="1959291634">
      <w:bodyDiv w:val="1"/>
      <w:marLeft w:val="0"/>
      <w:marRight w:val="0"/>
      <w:marTop w:val="0"/>
      <w:marBottom w:val="0"/>
      <w:divBdr>
        <w:top w:val="none" w:sz="0" w:space="0" w:color="auto"/>
        <w:left w:val="none" w:sz="0" w:space="0" w:color="auto"/>
        <w:bottom w:val="none" w:sz="0" w:space="0" w:color="auto"/>
        <w:right w:val="none" w:sz="0" w:space="0" w:color="auto"/>
      </w:divBdr>
    </w:div>
    <w:div w:id="1988775888">
      <w:bodyDiv w:val="1"/>
      <w:marLeft w:val="0"/>
      <w:marRight w:val="0"/>
      <w:marTop w:val="0"/>
      <w:marBottom w:val="0"/>
      <w:divBdr>
        <w:top w:val="none" w:sz="0" w:space="0" w:color="auto"/>
        <w:left w:val="none" w:sz="0" w:space="0" w:color="auto"/>
        <w:bottom w:val="none" w:sz="0" w:space="0" w:color="auto"/>
        <w:right w:val="none" w:sz="0" w:space="0" w:color="auto"/>
      </w:divBdr>
    </w:div>
    <w:div w:id="2005665849">
      <w:bodyDiv w:val="1"/>
      <w:marLeft w:val="0"/>
      <w:marRight w:val="0"/>
      <w:marTop w:val="0"/>
      <w:marBottom w:val="0"/>
      <w:divBdr>
        <w:top w:val="none" w:sz="0" w:space="0" w:color="auto"/>
        <w:left w:val="none" w:sz="0" w:space="0" w:color="auto"/>
        <w:bottom w:val="none" w:sz="0" w:space="0" w:color="auto"/>
        <w:right w:val="none" w:sz="0" w:space="0" w:color="auto"/>
      </w:divBdr>
    </w:div>
    <w:div w:id="2009286250">
      <w:bodyDiv w:val="1"/>
      <w:marLeft w:val="0"/>
      <w:marRight w:val="0"/>
      <w:marTop w:val="0"/>
      <w:marBottom w:val="0"/>
      <w:divBdr>
        <w:top w:val="none" w:sz="0" w:space="0" w:color="auto"/>
        <w:left w:val="none" w:sz="0" w:space="0" w:color="auto"/>
        <w:bottom w:val="none" w:sz="0" w:space="0" w:color="auto"/>
        <w:right w:val="none" w:sz="0" w:space="0" w:color="auto"/>
      </w:divBdr>
    </w:div>
    <w:div w:id="2025553782">
      <w:bodyDiv w:val="1"/>
      <w:marLeft w:val="0"/>
      <w:marRight w:val="0"/>
      <w:marTop w:val="0"/>
      <w:marBottom w:val="0"/>
      <w:divBdr>
        <w:top w:val="none" w:sz="0" w:space="0" w:color="auto"/>
        <w:left w:val="none" w:sz="0" w:space="0" w:color="auto"/>
        <w:bottom w:val="none" w:sz="0" w:space="0" w:color="auto"/>
        <w:right w:val="none" w:sz="0" w:space="0" w:color="auto"/>
      </w:divBdr>
    </w:div>
    <w:div w:id="2083409577">
      <w:bodyDiv w:val="1"/>
      <w:marLeft w:val="0"/>
      <w:marRight w:val="0"/>
      <w:marTop w:val="0"/>
      <w:marBottom w:val="0"/>
      <w:divBdr>
        <w:top w:val="none" w:sz="0" w:space="0" w:color="auto"/>
        <w:left w:val="none" w:sz="0" w:space="0" w:color="auto"/>
        <w:bottom w:val="none" w:sz="0" w:space="0" w:color="auto"/>
        <w:right w:val="none" w:sz="0" w:space="0" w:color="auto"/>
      </w:divBdr>
    </w:div>
    <w:div w:id="212595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1984</TotalTime>
  <Pages>9</Pages>
  <Words>3132</Words>
  <Characters>19393</Characters>
  <Application>Microsoft Office Word</Application>
  <DocSecurity>0</DocSecurity>
  <Lines>312</Lines>
  <Paragraphs>130</Paragraphs>
  <ScaleCrop>false</ScaleCrop>
  <Company/>
  <LinksUpToDate>false</LinksUpToDate>
  <CharactersWithSpaces>22395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Yiting</dc:creator>
  <cp:keywords/>
  <dc:description/>
  <cp:lastModifiedBy>Liu, Yiting (UT-BMS)</cp:lastModifiedBy>
  <cp:revision>119</cp:revision>
  <dcterms:created xsi:type="dcterms:W3CDTF">2025-06-22T12:33:00Z</dcterms:created>
  <dcterms:modified xsi:type="dcterms:W3CDTF">2025-11-16T19:35:00Z</dcterms:modified>
</cp:coreProperties>
</file>