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73124" w14:textId="570ADF1D" w:rsidR="006D6474" w:rsidRPr="006D6474" w:rsidRDefault="006D6474" w:rsidP="006D6474">
      <w:pPr>
        <w:rPr>
          <w:rFonts w:ascii="Times New Roman" w:hAnsi="Times New Roman" w:cs="Times New Roman"/>
          <w:color w:val="000033"/>
          <w:shd w:val="clear" w:color="auto" w:fill="FFFFFF"/>
        </w:rPr>
      </w:pPr>
      <w:bookmarkStart w:id="0" w:name="OLE_LINK1"/>
      <w:r w:rsidRPr="006D6474">
        <w:rPr>
          <w:rFonts w:ascii="Times New Roman" w:hAnsi="Times New Roman" w:cs="Times New Roman"/>
          <w:color w:val="000033"/>
          <w:shd w:val="clear" w:color="auto" w:fill="FFFFFF"/>
        </w:rPr>
        <w:t xml:space="preserve">Dear </w:t>
      </w:r>
      <w:r>
        <w:rPr>
          <w:rFonts w:ascii="Times New Roman" w:hAnsi="Times New Roman" w:cs="Times New Roman"/>
          <w:color w:val="212121"/>
          <w:sz w:val="22"/>
          <w:szCs w:val="22"/>
        </w:rPr>
        <w:t>Gang Kou, PhD</w:t>
      </w:r>
      <w:r w:rsidRPr="006D6474">
        <w:rPr>
          <w:rFonts w:ascii="Times New Roman" w:hAnsi="Times New Roman" w:cs="Times New Roman"/>
          <w:color w:val="000033"/>
          <w:shd w:val="clear" w:color="auto" w:fill="FFFFFF"/>
        </w:rPr>
        <w:t>,</w:t>
      </w:r>
    </w:p>
    <w:p w14:paraId="23650028" w14:textId="77777777" w:rsidR="006D6474" w:rsidRPr="006D6474" w:rsidRDefault="006D6474" w:rsidP="006D6474">
      <w:pPr>
        <w:rPr>
          <w:rFonts w:ascii="Times New Roman" w:hAnsi="Times New Roman" w:cs="Times New Roman"/>
          <w:color w:val="000033"/>
          <w:shd w:val="clear" w:color="auto" w:fill="FFFFFF"/>
        </w:rPr>
      </w:pPr>
    </w:p>
    <w:p w14:paraId="3390B8E6" w14:textId="77777777" w:rsidR="00CB565C" w:rsidRDefault="00CB565C">
      <w:pPr>
        <w:rPr>
          <w:rFonts w:ascii="Times New Roman" w:hAnsi="Times New Roman" w:cs="Times New Roman"/>
          <w:color w:val="000033"/>
          <w:shd w:val="clear" w:color="auto" w:fill="FFFFFF"/>
        </w:rPr>
      </w:pPr>
    </w:p>
    <w:p w14:paraId="1EB96EA2" w14:textId="77777777" w:rsidR="00CB565C" w:rsidRDefault="00CB565C">
      <w:pPr>
        <w:rPr>
          <w:rFonts w:ascii="Times New Roman" w:hAnsi="Times New Roman" w:cs="Times New Roman"/>
          <w:color w:val="000033"/>
          <w:shd w:val="clear" w:color="auto" w:fill="FFFFFF"/>
        </w:rPr>
      </w:pPr>
    </w:p>
    <w:p w14:paraId="0CDBF368" w14:textId="77777777" w:rsidR="00CB565C" w:rsidRDefault="00CB565C">
      <w:pPr>
        <w:rPr>
          <w:rFonts w:ascii="Times New Roman" w:hAnsi="Times New Roman" w:cs="Times New Roman"/>
          <w:color w:val="000033"/>
          <w:shd w:val="clear" w:color="auto" w:fill="FFFFFF"/>
        </w:rPr>
      </w:pPr>
    </w:p>
    <w:p w14:paraId="2C28BF3E" w14:textId="0B2412F2" w:rsidR="005921F3" w:rsidRDefault="005921F3">
      <w:pPr>
        <w:rPr>
          <w:rFonts w:ascii="Times New Roman" w:hAnsi="Times New Roman" w:cs="Times New Roman"/>
          <w:color w:val="000033"/>
          <w:shd w:val="clear" w:color="auto" w:fill="FFFFFF"/>
        </w:rPr>
      </w:pPr>
      <w:r>
        <w:rPr>
          <w:rFonts w:ascii="Times New Roman" w:hAnsi="Times New Roman" w:cs="Times New Roman"/>
          <w:color w:val="000033"/>
          <w:shd w:val="clear" w:color="auto" w:fill="FFFFFF"/>
        </w:rPr>
        <w:br w:type="page"/>
      </w:r>
    </w:p>
    <w:bookmarkEnd w:id="0"/>
    <w:p w14:paraId="00A2B81A" w14:textId="7C69A606" w:rsidR="00DA3069" w:rsidRPr="00176244" w:rsidRDefault="00907EC3" w:rsidP="00845583">
      <w:pPr>
        <w:rPr>
          <w:rFonts w:ascii="Times New Roman" w:hAnsi="Times New Roman" w:cs="Times New Roman"/>
          <w:color w:val="000033"/>
        </w:rPr>
      </w:pPr>
      <w:r w:rsidRPr="00907EC3">
        <w:rPr>
          <w:rFonts w:ascii="Times New Roman" w:hAnsi="Times New Roman" w:cs="Times New Roman"/>
          <w:color w:val="000033"/>
        </w:rPr>
        <w:lastRenderedPageBreak/>
        <w:t>Reviewer reports:</w:t>
      </w:r>
      <w:r w:rsidRPr="00907EC3">
        <w:rPr>
          <w:rFonts w:ascii="Times New Roman" w:hAnsi="Times New Roman" w:cs="Times New Roman"/>
          <w:color w:val="000033"/>
        </w:rPr>
        <w:br/>
      </w:r>
      <w:r w:rsidRPr="00907EC3">
        <w:rPr>
          <w:rFonts w:ascii="Times New Roman" w:hAnsi="Times New Roman" w:cs="Times New Roman"/>
          <w:color w:val="000033"/>
        </w:rPr>
        <w:br/>
        <w:t>Reviewer #5: The authors have addressed the comments and strengthened the manuscript. I am satisfied with the revisions and recommend the paper for acceptance.</w:t>
      </w:r>
      <w:r w:rsidRPr="00907EC3">
        <w:rPr>
          <w:rFonts w:ascii="Times New Roman" w:hAnsi="Times New Roman" w:cs="Times New Roman"/>
          <w:color w:val="000033"/>
        </w:rPr>
        <w:br/>
      </w:r>
      <w:r w:rsidRPr="00907EC3">
        <w:rPr>
          <w:rFonts w:ascii="Times New Roman" w:hAnsi="Times New Roman" w:cs="Times New Roman"/>
          <w:color w:val="000033"/>
        </w:rPr>
        <w:br/>
      </w:r>
      <w:r w:rsidRPr="00907EC3">
        <w:rPr>
          <w:rFonts w:ascii="Times New Roman" w:hAnsi="Times New Roman" w:cs="Times New Roman"/>
          <w:color w:val="000033"/>
        </w:rPr>
        <w:br/>
        <w:t>Reviewer #6: Dear Authors,</w:t>
      </w:r>
      <w:r w:rsidRPr="00907EC3">
        <w:rPr>
          <w:rFonts w:ascii="Times New Roman" w:hAnsi="Times New Roman" w:cs="Times New Roman"/>
          <w:color w:val="000033"/>
        </w:rPr>
        <w:br/>
      </w:r>
      <w:r w:rsidRPr="00907EC3">
        <w:rPr>
          <w:rFonts w:ascii="Times New Roman" w:hAnsi="Times New Roman" w:cs="Times New Roman"/>
          <w:color w:val="000033"/>
        </w:rPr>
        <w:br/>
        <w:t>Thank you for your detailed response letter and the effort invested in revising the manuscript. I have carefully reviewed both the revised manuscript and your point-by-point responses to my previous comments. While I appreciate your engagement with my feedback, I must note that several substantive concerns have not been adequately addressed. In a number of instances, the responses defend existing content or reframe concerns rather than implement the specific revisions I recommended.</w:t>
      </w:r>
      <w:r w:rsidRPr="00907EC3">
        <w:rPr>
          <w:rFonts w:ascii="Times New Roman" w:hAnsi="Times New Roman" w:cs="Times New Roman"/>
          <w:color w:val="000033"/>
        </w:rPr>
        <w:br/>
      </w:r>
      <w:r w:rsidRPr="00907EC3">
        <w:rPr>
          <w:rFonts w:ascii="Times New Roman" w:hAnsi="Times New Roman" w:cs="Times New Roman"/>
          <w:color w:val="000033"/>
        </w:rPr>
        <w:br/>
        <w:t>What Has Improved:</w:t>
      </w:r>
      <w:r w:rsidRPr="00907EC3">
        <w:rPr>
          <w:rFonts w:ascii="Times New Roman" w:hAnsi="Times New Roman" w:cs="Times New Roman"/>
          <w:color w:val="000033"/>
        </w:rPr>
        <w:br/>
        <w:t>I acknowledge the following improvements to the manuscript:</w:t>
      </w:r>
      <w:r w:rsidRPr="00907EC3">
        <w:rPr>
          <w:rFonts w:ascii="Times New Roman" w:hAnsi="Times New Roman" w:cs="Times New Roman"/>
          <w:color w:val="000033"/>
        </w:rPr>
        <w:br/>
        <w:t>The addition of Section 2.4 on platform governance and institutional adaptation provides some theoretical grounding, drawing on FinTech and institutional theory literature.</w:t>
      </w:r>
      <w:r w:rsidRPr="00907EC3">
        <w:rPr>
          <w:rFonts w:ascii="Times New Roman" w:hAnsi="Times New Roman" w:cs="Times New Roman"/>
          <w:color w:val="000033"/>
        </w:rPr>
        <w:br/>
        <w:t>The limitations discussion in Sections 3.2 and 6.1 is now more explicit about the scope conditions and generalizability of findings.</w:t>
      </w:r>
      <w:r w:rsidRPr="00907EC3">
        <w:rPr>
          <w:rFonts w:ascii="Times New Roman" w:hAnsi="Times New Roman" w:cs="Times New Roman"/>
          <w:color w:val="000033"/>
        </w:rPr>
        <w:br/>
        <w:t>The revision of unsupported claims (e.g., changing "striking number" to "several once-prominent P2P platforms") reflects appropriate scholarly caution.</w:t>
      </w:r>
      <w:r w:rsidRPr="00907EC3">
        <w:rPr>
          <w:rFonts w:ascii="Times New Roman" w:hAnsi="Times New Roman" w:cs="Times New Roman"/>
          <w:color w:val="000033"/>
        </w:rPr>
        <w:br/>
        <w:t>The conceptualization of a "dynamic feedback loop" in Section 6.2 and Figure 1 provides a useful organizing framework.</w:t>
      </w:r>
      <w:r w:rsidRPr="00907EC3">
        <w:rPr>
          <w:rFonts w:ascii="Times New Roman" w:hAnsi="Times New Roman" w:cs="Times New Roman"/>
          <w:color w:val="000033"/>
        </w:rPr>
        <w:br/>
      </w:r>
      <w:r w:rsidRPr="00907EC3">
        <w:rPr>
          <w:rFonts w:ascii="Times New Roman" w:hAnsi="Times New Roman" w:cs="Times New Roman"/>
          <w:color w:val="000033"/>
        </w:rPr>
        <w:br/>
        <w:t>Outstanding Concerns:</w:t>
      </w:r>
      <w:r w:rsidRPr="00907EC3">
        <w:rPr>
          <w:rFonts w:ascii="Times New Roman" w:hAnsi="Times New Roman" w:cs="Times New Roman"/>
          <w:color w:val="000033"/>
        </w:rPr>
        <w:br/>
      </w:r>
      <w:r w:rsidRPr="00907EC3">
        <w:rPr>
          <w:rFonts w:ascii="Times New Roman" w:hAnsi="Times New Roman" w:cs="Times New Roman"/>
          <w:color w:val="000033"/>
        </w:rPr>
        <w:br/>
        <w:t>Despite the improvements noted above, several substantive concerns remain inadequately addressed. I detail each below, along with my assessment of the authors' response.</w:t>
      </w:r>
      <w:r w:rsidRPr="00907EC3">
        <w:rPr>
          <w:rFonts w:ascii="Times New Roman" w:hAnsi="Times New Roman" w:cs="Times New Roman"/>
          <w:color w:val="000033"/>
        </w:rPr>
        <w:br/>
      </w:r>
      <w:r w:rsidRPr="00907EC3">
        <w:rPr>
          <w:rFonts w:ascii="Times New Roman" w:hAnsi="Times New Roman" w:cs="Times New Roman"/>
          <w:color w:val="000033"/>
        </w:rPr>
        <w:br/>
        <w:t>1. Theoretical Framework Remains Underdeveloped</w:t>
      </w:r>
      <w:r w:rsidRPr="00907EC3">
        <w:rPr>
          <w:rFonts w:ascii="Times New Roman" w:hAnsi="Times New Roman" w:cs="Times New Roman"/>
          <w:color w:val="000033"/>
        </w:rPr>
        <w:br/>
        <w:t>What I requested: Situate the argument within established theoretical traditions (platform economics, institutional theory, financial intermediation under regulation) and develop clearer propositions specifying how regulatory coercion, market maturation, and institutional investor pressure differentially affect platform adaptation.</w:t>
      </w:r>
      <w:r w:rsidRPr="00907EC3">
        <w:rPr>
          <w:rFonts w:ascii="Times New Roman" w:hAnsi="Times New Roman" w:cs="Times New Roman"/>
          <w:color w:val="000033"/>
        </w:rPr>
        <w:br/>
        <w:t>How the authors responded: Section 2.4 was added to discuss platform governance and institutional adaptation. However, the authors acknowledge they "do not develop a formal theoretical model" and describe the feedback loop as "a conceptual framing device."</w:t>
      </w:r>
      <w:r w:rsidRPr="00907EC3">
        <w:rPr>
          <w:rFonts w:ascii="Times New Roman" w:hAnsi="Times New Roman" w:cs="Times New Roman"/>
          <w:color w:val="000033"/>
        </w:rPr>
        <w:br/>
        <w:t xml:space="preserve">My assessment: The addition of Section 2.4 represents progress, but the paper still </w:t>
      </w:r>
      <w:r w:rsidRPr="00907EC3">
        <w:rPr>
          <w:rFonts w:ascii="Times New Roman" w:hAnsi="Times New Roman" w:cs="Times New Roman"/>
          <w:color w:val="000033"/>
        </w:rPr>
        <w:lastRenderedPageBreak/>
        <w:t>lacks the analytical scaffolding needed for a scholarly contribution. Specifically, no propositions link theoretical concepts to predicted outcomes—for instance, the paper never articulates conditional claims such as "platforms facing X regulatory pressure will adopt Y strategy, whereas those facing Z pressure will adopt W strategy." Without such propositions, the feedback loop functions as a post hoc organizational device rather than an explanatory framework capable of generating insight. The paper remains closer to an informed industry report than a theoretically grounded analysis.</w:t>
      </w:r>
      <w:r w:rsidRPr="00907EC3">
        <w:rPr>
          <w:rFonts w:ascii="Times New Roman" w:hAnsi="Times New Roman" w:cs="Times New Roman"/>
          <w:color w:val="000033"/>
        </w:rPr>
        <w:br/>
        <w:t>Verdict: Partially addressed; further development required.</w:t>
      </w:r>
      <w:r w:rsidRPr="00907EC3">
        <w:rPr>
          <w:rFonts w:ascii="Times New Roman" w:hAnsi="Times New Roman" w:cs="Times New Roman"/>
          <w:color w:val="000033"/>
        </w:rPr>
        <w:br/>
      </w:r>
      <w:r w:rsidRPr="00907EC3">
        <w:rPr>
          <w:rFonts w:ascii="Times New Roman" w:hAnsi="Times New Roman" w:cs="Times New Roman"/>
          <w:color w:val="000033"/>
        </w:rPr>
        <w:br/>
        <w:t>2. Causal Structure Remains Ambiguous</w:t>
      </w:r>
      <w:r w:rsidRPr="00907EC3">
        <w:rPr>
          <w:rFonts w:ascii="Times New Roman" w:hAnsi="Times New Roman" w:cs="Times New Roman"/>
          <w:color w:val="000033"/>
        </w:rPr>
        <w:br/>
        <w:t>What I requested: Disentangle the causal sequence between regulatory pressure and internal fragility. Organize the comparative analysis around timing of regulatory interventions and share of institutional funding. Provide a summary table comparing each platform's business model, key regulatory milestones, investor composition, and year of strategic transition.</w:t>
      </w:r>
      <w:r w:rsidRPr="00907EC3">
        <w:rPr>
          <w:rFonts w:ascii="Times New Roman" w:hAnsi="Times New Roman" w:cs="Times New Roman"/>
          <w:color w:val="000033"/>
        </w:rPr>
        <w:br/>
        <w:t>How the authors responded: The authors reframe the causal relationship as "fundamentally co-evolutionary and recursive, rather than unidirectional." They explicitly decline to add a summary table, arguing they "chose to focus the core of this study on platform-specific dynamics."</w:t>
      </w:r>
      <w:r w:rsidRPr="00907EC3">
        <w:rPr>
          <w:rFonts w:ascii="Times New Roman" w:hAnsi="Times New Roman" w:cs="Times New Roman"/>
          <w:color w:val="000033"/>
        </w:rPr>
        <w:br/>
        <w:t xml:space="preserve">My assessment: Characterizing causal ambiguity as an inherent property of the phenomenon is not a methodological response—it is an acknowledgment of the problem restated as a finding. A paper claiming comparative, cross-jurisdictional insights must offer structured comparison. The refusal to provide a summary table is difficult to </w:t>
      </w:r>
      <w:proofErr w:type="gramStart"/>
      <w:r w:rsidRPr="00907EC3">
        <w:rPr>
          <w:rFonts w:ascii="Times New Roman" w:hAnsi="Times New Roman" w:cs="Times New Roman"/>
          <w:color w:val="000033"/>
        </w:rPr>
        <w:t>justify:</w:t>
      </w:r>
      <w:proofErr w:type="gramEnd"/>
      <w:r w:rsidRPr="00907EC3">
        <w:rPr>
          <w:rFonts w:ascii="Times New Roman" w:hAnsi="Times New Roman" w:cs="Times New Roman"/>
          <w:color w:val="000033"/>
        </w:rPr>
        <w:t xml:space="preserve"> such a table would complement platform-specific narratives, not replace them, and would allow readers to identify patterns the prose alone obscures. Without systematic comparison across key dimensions, the paper's comparative contribution remains asserted rather than demonstrated.</w:t>
      </w:r>
      <w:r w:rsidRPr="00907EC3">
        <w:rPr>
          <w:rFonts w:ascii="Times New Roman" w:hAnsi="Times New Roman" w:cs="Times New Roman"/>
          <w:color w:val="000033"/>
        </w:rPr>
        <w:br/>
        <w:t>Verdict: Inadequately addressed.</w:t>
      </w:r>
      <w:r w:rsidRPr="00907EC3">
        <w:rPr>
          <w:rFonts w:ascii="Times New Roman" w:hAnsi="Times New Roman" w:cs="Times New Roman"/>
          <w:color w:val="000033"/>
        </w:rPr>
        <w:br/>
      </w:r>
      <w:r w:rsidRPr="00907EC3">
        <w:rPr>
          <w:rFonts w:ascii="Times New Roman" w:hAnsi="Times New Roman" w:cs="Times New Roman"/>
          <w:color w:val="000033"/>
        </w:rPr>
        <w:br/>
        <w:t>3. Cross-Platform Synthesis Insufficiently Developed</w:t>
      </w:r>
      <w:r w:rsidRPr="00907EC3">
        <w:rPr>
          <w:rFonts w:ascii="Times New Roman" w:hAnsi="Times New Roman" w:cs="Times New Roman"/>
          <w:color w:val="000033"/>
        </w:rPr>
        <w:br/>
        <w:t>What I requested: Expand Section 5.9, which I described as "too brief given its importance." Specifically, address the clustering of platform transformations between 2019 and 2021, and develop the role of institutional investors and their due-diligence requirements as an explanatory mechanism.</w:t>
      </w:r>
      <w:r w:rsidRPr="00907EC3">
        <w:rPr>
          <w:rFonts w:ascii="Times New Roman" w:hAnsi="Times New Roman" w:cs="Times New Roman"/>
          <w:color w:val="000033"/>
        </w:rPr>
        <w:br/>
        <w:t>How the authors responded: The authors reference existing content in Section 5.9 and indicate that the role of institutional capital has been "flagged for future inquiry."</w:t>
      </w:r>
      <w:r w:rsidRPr="00907EC3">
        <w:rPr>
          <w:rFonts w:ascii="Times New Roman" w:hAnsi="Times New Roman" w:cs="Times New Roman"/>
          <w:color w:val="000033"/>
        </w:rPr>
        <w:br/>
        <w:t>My assessment: Pointing to existing content does not respond to a concern that the content is insufficient. The temporal clustering of transformations—a striking empirical pattern—receives no explicit analysis. More problematically, I identified institutional investor pressure as "a potentially powerful explanatory mechanism that deserves a more explicit place in your analysis." Deferring this to future research effectively declines to engage with a central interpretive opportunity. Section 5.9 should be the analytical heart of a comparative study; instead, it remains underdeveloped.</w:t>
      </w:r>
      <w:r w:rsidRPr="00907EC3">
        <w:rPr>
          <w:rFonts w:ascii="Times New Roman" w:hAnsi="Times New Roman" w:cs="Times New Roman"/>
          <w:color w:val="000033"/>
        </w:rPr>
        <w:br/>
      </w:r>
      <w:r w:rsidRPr="00907EC3">
        <w:rPr>
          <w:rFonts w:ascii="Times New Roman" w:hAnsi="Times New Roman" w:cs="Times New Roman"/>
          <w:color w:val="000033"/>
        </w:rPr>
        <w:lastRenderedPageBreak/>
        <w:t>Verdict: Not addressed.</w:t>
      </w:r>
      <w:r w:rsidRPr="00907EC3">
        <w:rPr>
          <w:rFonts w:ascii="Times New Roman" w:hAnsi="Times New Roman" w:cs="Times New Roman"/>
          <w:color w:val="000033"/>
        </w:rPr>
        <w:br/>
      </w:r>
      <w:r w:rsidRPr="00907EC3">
        <w:rPr>
          <w:rFonts w:ascii="Times New Roman" w:hAnsi="Times New Roman" w:cs="Times New Roman"/>
          <w:color w:val="000033"/>
        </w:rPr>
        <w:br/>
        <w:t>4. Structural and Presentation Issues Persist</w:t>
      </w:r>
      <w:r w:rsidRPr="00907EC3">
        <w:rPr>
          <w:rFonts w:ascii="Times New Roman" w:hAnsi="Times New Roman" w:cs="Times New Roman"/>
          <w:color w:val="000033"/>
        </w:rPr>
        <w:br/>
        <w:t>What I requested: Streamline Sections 4 and 5 using summary tables or appendices to reduce redundancy. Reorganize the regulatory discussion around analytical categories (e.g., investor protection mechanisms, prudential requirements, disclosure mandates) rather than presenting a jurisdiction-by-jurisdiction listing.</w:t>
      </w:r>
      <w:r w:rsidRPr="00907EC3">
        <w:rPr>
          <w:rFonts w:ascii="Times New Roman" w:hAnsi="Times New Roman" w:cs="Times New Roman"/>
          <w:color w:val="000033"/>
        </w:rPr>
        <w:br/>
        <w:t>How the authors responded: The authors defend the existing structure, arguing that Sections 4 and 5 "serve distinct analytical purposes."</w:t>
      </w:r>
      <w:r w:rsidRPr="00907EC3">
        <w:rPr>
          <w:rFonts w:ascii="Times New Roman" w:hAnsi="Times New Roman" w:cs="Times New Roman"/>
          <w:color w:val="000033"/>
        </w:rPr>
        <w:br/>
        <w:t>My assessment: The distinction between internal drivers (Section 4) and external regulatory pressures (Section 5) is reasonable in principle. However, Section 5 remains organized geographically (US, UK, China, EU, India) rather than analytically. This structure invites description over explanation: readers learn what regulations exist in each jurisdiction but gain limited insight into how different regulatory mechanisms—regardless of jurisdiction—shape platform behavior. Reorganizing around mechanism types would reveal cross-cutting patterns and sharpen the paper's analytical contribution. The continued absence of summary tables represents a missed opportunity for clarity.</w:t>
      </w:r>
      <w:r w:rsidRPr="00907EC3">
        <w:rPr>
          <w:rFonts w:ascii="Times New Roman" w:hAnsi="Times New Roman" w:cs="Times New Roman"/>
          <w:color w:val="000033"/>
        </w:rPr>
        <w:br/>
        <w:t>Verdict: Minimally addressed.</w:t>
      </w:r>
      <w:r w:rsidRPr="00907EC3">
        <w:rPr>
          <w:rFonts w:ascii="Times New Roman" w:hAnsi="Times New Roman" w:cs="Times New Roman"/>
          <w:color w:val="000033"/>
        </w:rPr>
        <w:br/>
      </w:r>
      <w:r w:rsidRPr="00907EC3">
        <w:rPr>
          <w:rFonts w:ascii="Times New Roman" w:hAnsi="Times New Roman" w:cs="Times New Roman"/>
          <w:color w:val="000033"/>
        </w:rPr>
        <w:br/>
        <w:t>5. No Primary Evidence Incorporated</w:t>
      </w:r>
      <w:r w:rsidRPr="00907EC3">
        <w:rPr>
          <w:rFonts w:ascii="Times New Roman" w:hAnsi="Times New Roman" w:cs="Times New Roman"/>
          <w:color w:val="000033"/>
        </w:rPr>
        <w:br/>
        <w:t>What I requested: Incorporate limited primary evidence where feasible—such as earnings-call statements or regulator communications—to triangulate secondary source findings and strengthen causal inference.</w:t>
      </w:r>
      <w:r w:rsidRPr="00907EC3">
        <w:rPr>
          <w:rFonts w:ascii="Times New Roman" w:hAnsi="Times New Roman" w:cs="Times New Roman"/>
          <w:color w:val="000033"/>
        </w:rPr>
        <w:br/>
        <w:t>How the authors responded: The authors cite "practical difficulty" in obtaining primary material and make no attempt to incorporate such evidence.</w:t>
      </w:r>
      <w:r w:rsidRPr="00907EC3">
        <w:rPr>
          <w:rFonts w:ascii="Times New Roman" w:hAnsi="Times New Roman" w:cs="Times New Roman"/>
          <w:color w:val="000033"/>
        </w:rPr>
        <w:br/>
        <w:t>My assessment: While I acknowledge that comprehensive primary data collection across multiple jurisdictions may be impractical, the complete absence of primary evidence is a significant limitation. Earnings-call transcripts for publicly listed platforms (</w:t>
      </w:r>
      <w:proofErr w:type="spellStart"/>
      <w:r w:rsidRPr="00907EC3">
        <w:rPr>
          <w:rFonts w:ascii="Times New Roman" w:hAnsi="Times New Roman" w:cs="Times New Roman"/>
          <w:color w:val="000033"/>
        </w:rPr>
        <w:t>LendingClub</w:t>
      </w:r>
      <w:proofErr w:type="spellEnd"/>
      <w:r w:rsidRPr="00907EC3">
        <w:rPr>
          <w:rFonts w:ascii="Times New Roman" w:hAnsi="Times New Roman" w:cs="Times New Roman"/>
          <w:color w:val="000033"/>
        </w:rPr>
        <w:t>, Funding Circle, Yiren Digital) are freely accessible. Even a small number of direct quotations—management explaining strategic pivots, responses to analyst questions about regulatory pressure—would substantially strengthen the paper's causal claims and demonstrate that platform-level interpretations are grounded in actors' own accounts. This is a tractable enhancement that was not attempted.</w:t>
      </w:r>
      <w:r w:rsidRPr="00907EC3">
        <w:rPr>
          <w:rFonts w:ascii="Times New Roman" w:hAnsi="Times New Roman" w:cs="Times New Roman"/>
          <w:color w:val="000033"/>
        </w:rPr>
        <w:br/>
        <w:t>Verdict: Not addressed.</w:t>
      </w:r>
    </w:p>
    <w:sectPr w:rsidR="00DA3069" w:rsidRPr="001762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AC2"/>
    <w:rsid w:val="00020AC2"/>
    <w:rsid w:val="00024B6E"/>
    <w:rsid w:val="00090F68"/>
    <w:rsid w:val="000C64B1"/>
    <w:rsid w:val="000D614D"/>
    <w:rsid w:val="0010631D"/>
    <w:rsid w:val="001201E4"/>
    <w:rsid w:val="00130331"/>
    <w:rsid w:val="00145EA7"/>
    <w:rsid w:val="00146E69"/>
    <w:rsid w:val="00176244"/>
    <w:rsid w:val="001831A1"/>
    <w:rsid w:val="00187970"/>
    <w:rsid w:val="001A5D04"/>
    <w:rsid w:val="001C7A3D"/>
    <w:rsid w:val="001D275E"/>
    <w:rsid w:val="001E0FBE"/>
    <w:rsid w:val="00225B59"/>
    <w:rsid w:val="002962A6"/>
    <w:rsid w:val="002C0A4A"/>
    <w:rsid w:val="00305C15"/>
    <w:rsid w:val="00317887"/>
    <w:rsid w:val="00320073"/>
    <w:rsid w:val="00330751"/>
    <w:rsid w:val="003B3FBD"/>
    <w:rsid w:val="003C18B4"/>
    <w:rsid w:val="003C3958"/>
    <w:rsid w:val="003F5426"/>
    <w:rsid w:val="00411EFA"/>
    <w:rsid w:val="00453A00"/>
    <w:rsid w:val="004651EB"/>
    <w:rsid w:val="004816C9"/>
    <w:rsid w:val="004A093F"/>
    <w:rsid w:val="004B4A17"/>
    <w:rsid w:val="004C3C94"/>
    <w:rsid w:val="004C5D17"/>
    <w:rsid w:val="004E3A99"/>
    <w:rsid w:val="00554613"/>
    <w:rsid w:val="005921F3"/>
    <w:rsid w:val="005E0ECB"/>
    <w:rsid w:val="00610275"/>
    <w:rsid w:val="006562B1"/>
    <w:rsid w:val="006D6474"/>
    <w:rsid w:val="00703106"/>
    <w:rsid w:val="00710757"/>
    <w:rsid w:val="00711DE0"/>
    <w:rsid w:val="00713BDB"/>
    <w:rsid w:val="00745B71"/>
    <w:rsid w:val="007546A2"/>
    <w:rsid w:val="00782429"/>
    <w:rsid w:val="007B4F08"/>
    <w:rsid w:val="007C1B21"/>
    <w:rsid w:val="008100C6"/>
    <w:rsid w:val="008124F6"/>
    <w:rsid w:val="00815546"/>
    <w:rsid w:val="00845583"/>
    <w:rsid w:val="00853387"/>
    <w:rsid w:val="0086419D"/>
    <w:rsid w:val="00884D08"/>
    <w:rsid w:val="008E2398"/>
    <w:rsid w:val="008E6DD4"/>
    <w:rsid w:val="009040E1"/>
    <w:rsid w:val="00907EC3"/>
    <w:rsid w:val="009D38F9"/>
    <w:rsid w:val="009D7857"/>
    <w:rsid w:val="009F7DB7"/>
    <w:rsid w:val="00A33BBF"/>
    <w:rsid w:val="00A81290"/>
    <w:rsid w:val="00AC104A"/>
    <w:rsid w:val="00AC502B"/>
    <w:rsid w:val="00B71048"/>
    <w:rsid w:val="00BA2E76"/>
    <w:rsid w:val="00BA7F58"/>
    <w:rsid w:val="00BB2183"/>
    <w:rsid w:val="00BC00B9"/>
    <w:rsid w:val="00BE157B"/>
    <w:rsid w:val="00C0311D"/>
    <w:rsid w:val="00C04209"/>
    <w:rsid w:val="00C225F1"/>
    <w:rsid w:val="00C54BD0"/>
    <w:rsid w:val="00C658AD"/>
    <w:rsid w:val="00C86DBC"/>
    <w:rsid w:val="00CA313F"/>
    <w:rsid w:val="00CB565C"/>
    <w:rsid w:val="00CC3287"/>
    <w:rsid w:val="00CD44FD"/>
    <w:rsid w:val="00CE1525"/>
    <w:rsid w:val="00CE29E4"/>
    <w:rsid w:val="00D0667D"/>
    <w:rsid w:val="00D96FC7"/>
    <w:rsid w:val="00DA3069"/>
    <w:rsid w:val="00DB2359"/>
    <w:rsid w:val="00DF46EE"/>
    <w:rsid w:val="00E554FB"/>
    <w:rsid w:val="00E60493"/>
    <w:rsid w:val="00E80C3E"/>
    <w:rsid w:val="00E969BC"/>
    <w:rsid w:val="00EB6A2F"/>
    <w:rsid w:val="00F01248"/>
    <w:rsid w:val="00F112A2"/>
    <w:rsid w:val="00F33D88"/>
    <w:rsid w:val="00F361E0"/>
    <w:rsid w:val="00F37C23"/>
    <w:rsid w:val="00F64C3B"/>
    <w:rsid w:val="00F93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5BB6"/>
  <w15:chartTrackingRefBased/>
  <w15:docId w15:val="{75E3F9C7-409F-EE4A-90F7-AF7B98C35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51EB"/>
    <w:rPr>
      <w:rFonts w:ascii="宋体" w:eastAsia="宋体" w:hAnsi="宋体" w:cs="宋体"/>
      <w:kern w:val="0"/>
      <w:sz w:val="24"/>
    </w:rPr>
  </w:style>
  <w:style w:type="paragraph" w:styleId="1">
    <w:name w:val="heading 1"/>
    <w:basedOn w:val="a"/>
    <w:next w:val="a"/>
    <w:link w:val="10"/>
    <w:uiPriority w:val="9"/>
    <w:qFormat/>
    <w:rsid w:val="00020AC2"/>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rPr>
  </w:style>
  <w:style w:type="paragraph" w:styleId="2">
    <w:name w:val="heading 2"/>
    <w:basedOn w:val="a"/>
    <w:next w:val="a"/>
    <w:link w:val="20"/>
    <w:uiPriority w:val="9"/>
    <w:semiHidden/>
    <w:unhideWhenUsed/>
    <w:qFormat/>
    <w:rsid w:val="00020AC2"/>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rPr>
  </w:style>
  <w:style w:type="paragraph" w:styleId="3">
    <w:name w:val="heading 3"/>
    <w:basedOn w:val="a"/>
    <w:next w:val="a"/>
    <w:link w:val="30"/>
    <w:uiPriority w:val="9"/>
    <w:semiHidden/>
    <w:unhideWhenUsed/>
    <w:qFormat/>
    <w:rsid w:val="00020AC2"/>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rPr>
  </w:style>
  <w:style w:type="paragraph" w:styleId="4">
    <w:name w:val="heading 4"/>
    <w:basedOn w:val="a"/>
    <w:next w:val="a"/>
    <w:link w:val="40"/>
    <w:uiPriority w:val="9"/>
    <w:semiHidden/>
    <w:unhideWhenUsed/>
    <w:qFormat/>
    <w:rsid w:val="00020AC2"/>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rPr>
  </w:style>
  <w:style w:type="paragraph" w:styleId="5">
    <w:name w:val="heading 5"/>
    <w:basedOn w:val="a"/>
    <w:next w:val="a"/>
    <w:link w:val="50"/>
    <w:uiPriority w:val="9"/>
    <w:semiHidden/>
    <w:unhideWhenUsed/>
    <w:qFormat/>
    <w:rsid w:val="00020AC2"/>
    <w:pPr>
      <w:keepNext/>
      <w:keepLines/>
      <w:widowControl w:val="0"/>
      <w:spacing w:before="80" w:after="40"/>
      <w:jc w:val="both"/>
      <w:outlineLvl w:val="4"/>
    </w:pPr>
    <w:rPr>
      <w:rFonts w:asciiTheme="minorHAnsi" w:eastAsiaTheme="minorEastAsia" w:hAnsiTheme="minorHAnsi" w:cstheme="majorBidi"/>
      <w:color w:val="0F4761" w:themeColor="accent1" w:themeShade="BF"/>
      <w:kern w:val="2"/>
    </w:rPr>
  </w:style>
  <w:style w:type="paragraph" w:styleId="6">
    <w:name w:val="heading 6"/>
    <w:basedOn w:val="a"/>
    <w:next w:val="a"/>
    <w:link w:val="60"/>
    <w:uiPriority w:val="9"/>
    <w:semiHidden/>
    <w:unhideWhenUsed/>
    <w:qFormat/>
    <w:rsid w:val="00020AC2"/>
    <w:pPr>
      <w:keepNext/>
      <w:keepLines/>
      <w:widowControl w:val="0"/>
      <w:spacing w:before="40"/>
      <w:jc w:val="both"/>
      <w:outlineLvl w:val="5"/>
    </w:pPr>
    <w:rPr>
      <w:rFonts w:asciiTheme="minorHAnsi" w:eastAsiaTheme="minorEastAsia" w:hAnsiTheme="minorHAnsi" w:cstheme="majorBidi"/>
      <w:b/>
      <w:bCs/>
      <w:color w:val="0F4761" w:themeColor="accent1" w:themeShade="BF"/>
      <w:kern w:val="2"/>
      <w:sz w:val="21"/>
    </w:rPr>
  </w:style>
  <w:style w:type="paragraph" w:styleId="7">
    <w:name w:val="heading 7"/>
    <w:basedOn w:val="a"/>
    <w:next w:val="a"/>
    <w:link w:val="70"/>
    <w:uiPriority w:val="9"/>
    <w:semiHidden/>
    <w:unhideWhenUsed/>
    <w:qFormat/>
    <w:rsid w:val="00020AC2"/>
    <w:pPr>
      <w:keepNext/>
      <w:keepLines/>
      <w:widowControl w:val="0"/>
      <w:spacing w:before="40"/>
      <w:jc w:val="both"/>
      <w:outlineLvl w:val="6"/>
    </w:pPr>
    <w:rPr>
      <w:rFonts w:asciiTheme="minorHAnsi" w:eastAsiaTheme="minorEastAsia" w:hAnsiTheme="minorHAnsi" w:cstheme="majorBidi"/>
      <w:b/>
      <w:bCs/>
      <w:color w:val="595959" w:themeColor="text1" w:themeTint="A6"/>
      <w:kern w:val="2"/>
      <w:sz w:val="21"/>
    </w:rPr>
  </w:style>
  <w:style w:type="paragraph" w:styleId="8">
    <w:name w:val="heading 8"/>
    <w:basedOn w:val="a"/>
    <w:next w:val="a"/>
    <w:link w:val="80"/>
    <w:uiPriority w:val="9"/>
    <w:semiHidden/>
    <w:unhideWhenUsed/>
    <w:qFormat/>
    <w:rsid w:val="00020AC2"/>
    <w:pPr>
      <w:keepNext/>
      <w:keepLines/>
      <w:widowControl w:val="0"/>
      <w:jc w:val="both"/>
      <w:outlineLvl w:val="7"/>
    </w:pPr>
    <w:rPr>
      <w:rFonts w:asciiTheme="minorHAnsi" w:eastAsiaTheme="minorEastAsia" w:hAnsiTheme="minorHAnsi" w:cstheme="majorBidi"/>
      <w:color w:val="595959" w:themeColor="text1" w:themeTint="A6"/>
      <w:kern w:val="2"/>
      <w:sz w:val="21"/>
    </w:rPr>
  </w:style>
  <w:style w:type="paragraph" w:styleId="9">
    <w:name w:val="heading 9"/>
    <w:basedOn w:val="a"/>
    <w:next w:val="a"/>
    <w:link w:val="90"/>
    <w:uiPriority w:val="9"/>
    <w:semiHidden/>
    <w:unhideWhenUsed/>
    <w:qFormat/>
    <w:rsid w:val="00020AC2"/>
    <w:pPr>
      <w:keepNext/>
      <w:keepLines/>
      <w:widowControl w:val="0"/>
      <w:jc w:val="both"/>
      <w:outlineLvl w:val="8"/>
    </w:pPr>
    <w:rPr>
      <w:rFonts w:asciiTheme="minorHAnsi" w:eastAsiaTheme="majorEastAsia" w:hAnsiTheme="minorHAnsi" w:cstheme="majorBidi"/>
      <w:color w:val="595959" w:themeColor="text1" w:themeTint="A6"/>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0A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0A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0A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0AC2"/>
    <w:rPr>
      <w:rFonts w:cstheme="majorBidi"/>
      <w:color w:val="0F4761" w:themeColor="accent1" w:themeShade="BF"/>
      <w:sz w:val="28"/>
      <w:szCs w:val="28"/>
    </w:rPr>
  </w:style>
  <w:style w:type="character" w:customStyle="1" w:styleId="50">
    <w:name w:val="标题 5 字符"/>
    <w:basedOn w:val="a0"/>
    <w:link w:val="5"/>
    <w:uiPriority w:val="9"/>
    <w:semiHidden/>
    <w:rsid w:val="00020AC2"/>
    <w:rPr>
      <w:rFonts w:cstheme="majorBidi"/>
      <w:color w:val="0F4761" w:themeColor="accent1" w:themeShade="BF"/>
      <w:sz w:val="24"/>
    </w:rPr>
  </w:style>
  <w:style w:type="character" w:customStyle="1" w:styleId="60">
    <w:name w:val="标题 6 字符"/>
    <w:basedOn w:val="a0"/>
    <w:link w:val="6"/>
    <w:uiPriority w:val="9"/>
    <w:semiHidden/>
    <w:rsid w:val="00020AC2"/>
    <w:rPr>
      <w:rFonts w:cstheme="majorBidi"/>
      <w:b/>
      <w:bCs/>
      <w:color w:val="0F4761" w:themeColor="accent1" w:themeShade="BF"/>
    </w:rPr>
  </w:style>
  <w:style w:type="character" w:customStyle="1" w:styleId="70">
    <w:name w:val="标题 7 字符"/>
    <w:basedOn w:val="a0"/>
    <w:link w:val="7"/>
    <w:uiPriority w:val="9"/>
    <w:semiHidden/>
    <w:rsid w:val="00020AC2"/>
    <w:rPr>
      <w:rFonts w:cstheme="majorBidi"/>
      <w:b/>
      <w:bCs/>
      <w:color w:val="595959" w:themeColor="text1" w:themeTint="A6"/>
    </w:rPr>
  </w:style>
  <w:style w:type="character" w:customStyle="1" w:styleId="80">
    <w:name w:val="标题 8 字符"/>
    <w:basedOn w:val="a0"/>
    <w:link w:val="8"/>
    <w:uiPriority w:val="9"/>
    <w:semiHidden/>
    <w:rsid w:val="00020AC2"/>
    <w:rPr>
      <w:rFonts w:cstheme="majorBidi"/>
      <w:color w:val="595959" w:themeColor="text1" w:themeTint="A6"/>
    </w:rPr>
  </w:style>
  <w:style w:type="character" w:customStyle="1" w:styleId="90">
    <w:name w:val="标题 9 字符"/>
    <w:basedOn w:val="a0"/>
    <w:link w:val="9"/>
    <w:uiPriority w:val="9"/>
    <w:semiHidden/>
    <w:rsid w:val="00020AC2"/>
    <w:rPr>
      <w:rFonts w:eastAsiaTheme="majorEastAsia" w:cstheme="majorBidi"/>
      <w:color w:val="595959" w:themeColor="text1" w:themeTint="A6"/>
    </w:rPr>
  </w:style>
  <w:style w:type="paragraph" w:styleId="a3">
    <w:name w:val="Title"/>
    <w:basedOn w:val="a"/>
    <w:next w:val="a"/>
    <w:link w:val="a4"/>
    <w:uiPriority w:val="10"/>
    <w:qFormat/>
    <w:rsid w:val="00020AC2"/>
    <w:pPr>
      <w:widowControl w:val="0"/>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0A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0AC2"/>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6">
    <w:name w:val="副标题 字符"/>
    <w:basedOn w:val="a0"/>
    <w:link w:val="a5"/>
    <w:uiPriority w:val="11"/>
    <w:rsid w:val="00020A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0AC2"/>
    <w:pPr>
      <w:widowControl w:val="0"/>
      <w:spacing w:before="160" w:after="160"/>
      <w:jc w:val="center"/>
    </w:pPr>
    <w:rPr>
      <w:rFonts w:asciiTheme="minorHAnsi" w:eastAsiaTheme="minorEastAsia" w:hAnsiTheme="minorHAnsi" w:cstheme="minorBidi"/>
      <w:i/>
      <w:iCs/>
      <w:color w:val="404040" w:themeColor="text1" w:themeTint="BF"/>
      <w:kern w:val="2"/>
      <w:sz w:val="21"/>
    </w:rPr>
  </w:style>
  <w:style w:type="character" w:customStyle="1" w:styleId="a8">
    <w:name w:val="引用 字符"/>
    <w:basedOn w:val="a0"/>
    <w:link w:val="a7"/>
    <w:uiPriority w:val="29"/>
    <w:rsid w:val="00020AC2"/>
    <w:rPr>
      <w:i/>
      <w:iCs/>
      <w:color w:val="404040" w:themeColor="text1" w:themeTint="BF"/>
    </w:rPr>
  </w:style>
  <w:style w:type="paragraph" w:styleId="a9">
    <w:name w:val="List Paragraph"/>
    <w:basedOn w:val="a"/>
    <w:uiPriority w:val="34"/>
    <w:qFormat/>
    <w:rsid w:val="00020AC2"/>
    <w:pPr>
      <w:widowControl w:val="0"/>
      <w:ind w:left="720"/>
      <w:contextualSpacing/>
      <w:jc w:val="both"/>
    </w:pPr>
    <w:rPr>
      <w:rFonts w:asciiTheme="minorHAnsi" w:eastAsiaTheme="minorEastAsia" w:hAnsiTheme="minorHAnsi" w:cstheme="minorBidi"/>
      <w:kern w:val="2"/>
      <w:sz w:val="21"/>
    </w:rPr>
  </w:style>
  <w:style w:type="character" w:styleId="aa">
    <w:name w:val="Intense Emphasis"/>
    <w:basedOn w:val="a0"/>
    <w:uiPriority w:val="21"/>
    <w:qFormat/>
    <w:rsid w:val="00020AC2"/>
    <w:rPr>
      <w:i/>
      <w:iCs/>
      <w:color w:val="0F4761" w:themeColor="accent1" w:themeShade="BF"/>
    </w:rPr>
  </w:style>
  <w:style w:type="paragraph" w:styleId="ab">
    <w:name w:val="Intense Quote"/>
    <w:basedOn w:val="a"/>
    <w:next w:val="a"/>
    <w:link w:val="ac"/>
    <w:uiPriority w:val="30"/>
    <w:qFormat/>
    <w:rsid w:val="00020AC2"/>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rPr>
  </w:style>
  <w:style w:type="character" w:customStyle="1" w:styleId="ac">
    <w:name w:val="明显引用 字符"/>
    <w:basedOn w:val="a0"/>
    <w:link w:val="ab"/>
    <w:uiPriority w:val="30"/>
    <w:rsid w:val="00020AC2"/>
    <w:rPr>
      <w:i/>
      <w:iCs/>
      <w:color w:val="0F4761" w:themeColor="accent1" w:themeShade="BF"/>
    </w:rPr>
  </w:style>
  <w:style w:type="character" w:styleId="ad">
    <w:name w:val="Intense Reference"/>
    <w:basedOn w:val="a0"/>
    <w:uiPriority w:val="32"/>
    <w:qFormat/>
    <w:rsid w:val="00020AC2"/>
    <w:rPr>
      <w:b/>
      <w:bCs/>
      <w:smallCaps/>
      <w:color w:val="0F4761" w:themeColor="accent1" w:themeShade="BF"/>
      <w:spacing w:val="5"/>
    </w:rPr>
  </w:style>
  <w:style w:type="paragraph" w:customStyle="1" w:styleId="p1">
    <w:name w:val="p1"/>
    <w:basedOn w:val="a"/>
    <w:rsid w:val="00782429"/>
    <w:pPr>
      <w:spacing w:before="100" w:beforeAutospacing="1" w:after="100" w:afterAutospacing="1"/>
    </w:pPr>
  </w:style>
  <w:style w:type="paragraph" w:customStyle="1" w:styleId="p2">
    <w:name w:val="p2"/>
    <w:basedOn w:val="a"/>
    <w:rsid w:val="006562B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9439">
      <w:bodyDiv w:val="1"/>
      <w:marLeft w:val="0"/>
      <w:marRight w:val="0"/>
      <w:marTop w:val="0"/>
      <w:marBottom w:val="0"/>
      <w:divBdr>
        <w:top w:val="none" w:sz="0" w:space="0" w:color="auto"/>
        <w:left w:val="none" w:sz="0" w:space="0" w:color="auto"/>
        <w:bottom w:val="none" w:sz="0" w:space="0" w:color="auto"/>
        <w:right w:val="none" w:sz="0" w:space="0" w:color="auto"/>
      </w:divBdr>
      <w:divsChild>
        <w:div w:id="8859872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9258110">
      <w:bodyDiv w:val="1"/>
      <w:marLeft w:val="0"/>
      <w:marRight w:val="0"/>
      <w:marTop w:val="0"/>
      <w:marBottom w:val="0"/>
      <w:divBdr>
        <w:top w:val="none" w:sz="0" w:space="0" w:color="auto"/>
        <w:left w:val="none" w:sz="0" w:space="0" w:color="auto"/>
        <w:bottom w:val="none" w:sz="0" w:space="0" w:color="auto"/>
        <w:right w:val="none" w:sz="0" w:space="0" w:color="auto"/>
      </w:divBdr>
    </w:div>
    <w:div w:id="77941826">
      <w:bodyDiv w:val="1"/>
      <w:marLeft w:val="0"/>
      <w:marRight w:val="0"/>
      <w:marTop w:val="0"/>
      <w:marBottom w:val="0"/>
      <w:divBdr>
        <w:top w:val="none" w:sz="0" w:space="0" w:color="auto"/>
        <w:left w:val="none" w:sz="0" w:space="0" w:color="auto"/>
        <w:bottom w:val="none" w:sz="0" w:space="0" w:color="auto"/>
        <w:right w:val="none" w:sz="0" w:space="0" w:color="auto"/>
      </w:divBdr>
    </w:div>
    <w:div w:id="84612876">
      <w:bodyDiv w:val="1"/>
      <w:marLeft w:val="0"/>
      <w:marRight w:val="0"/>
      <w:marTop w:val="0"/>
      <w:marBottom w:val="0"/>
      <w:divBdr>
        <w:top w:val="none" w:sz="0" w:space="0" w:color="auto"/>
        <w:left w:val="none" w:sz="0" w:space="0" w:color="auto"/>
        <w:bottom w:val="none" w:sz="0" w:space="0" w:color="auto"/>
        <w:right w:val="none" w:sz="0" w:space="0" w:color="auto"/>
      </w:divBdr>
    </w:div>
    <w:div w:id="102892559">
      <w:bodyDiv w:val="1"/>
      <w:marLeft w:val="0"/>
      <w:marRight w:val="0"/>
      <w:marTop w:val="0"/>
      <w:marBottom w:val="0"/>
      <w:divBdr>
        <w:top w:val="none" w:sz="0" w:space="0" w:color="auto"/>
        <w:left w:val="none" w:sz="0" w:space="0" w:color="auto"/>
        <w:bottom w:val="none" w:sz="0" w:space="0" w:color="auto"/>
        <w:right w:val="none" w:sz="0" w:space="0" w:color="auto"/>
      </w:divBdr>
    </w:div>
    <w:div w:id="174347117">
      <w:bodyDiv w:val="1"/>
      <w:marLeft w:val="0"/>
      <w:marRight w:val="0"/>
      <w:marTop w:val="0"/>
      <w:marBottom w:val="0"/>
      <w:divBdr>
        <w:top w:val="none" w:sz="0" w:space="0" w:color="auto"/>
        <w:left w:val="none" w:sz="0" w:space="0" w:color="auto"/>
        <w:bottom w:val="none" w:sz="0" w:space="0" w:color="auto"/>
        <w:right w:val="none" w:sz="0" w:space="0" w:color="auto"/>
      </w:divBdr>
    </w:div>
    <w:div w:id="276641524">
      <w:bodyDiv w:val="1"/>
      <w:marLeft w:val="0"/>
      <w:marRight w:val="0"/>
      <w:marTop w:val="0"/>
      <w:marBottom w:val="0"/>
      <w:divBdr>
        <w:top w:val="none" w:sz="0" w:space="0" w:color="auto"/>
        <w:left w:val="none" w:sz="0" w:space="0" w:color="auto"/>
        <w:bottom w:val="none" w:sz="0" w:space="0" w:color="auto"/>
        <w:right w:val="none" w:sz="0" w:space="0" w:color="auto"/>
      </w:divBdr>
    </w:div>
    <w:div w:id="296226676">
      <w:bodyDiv w:val="1"/>
      <w:marLeft w:val="0"/>
      <w:marRight w:val="0"/>
      <w:marTop w:val="0"/>
      <w:marBottom w:val="0"/>
      <w:divBdr>
        <w:top w:val="none" w:sz="0" w:space="0" w:color="auto"/>
        <w:left w:val="none" w:sz="0" w:space="0" w:color="auto"/>
        <w:bottom w:val="none" w:sz="0" w:space="0" w:color="auto"/>
        <w:right w:val="none" w:sz="0" w:space="0" w:color="auto"/>
      </w:divBdr>
    </w:div>
    <w:div w:id="438720957">
      <w:bodyDiv w:val="1"/>
      <w:marLeft w:val="0"/>
      <w:marRight w:val="0"/>
      <w:marTop w:val="0"/>
      <w:marBottom w:val="0"/>
      <w:divBdr>
        <w:top w:val="none" w:sz="0" w:space="0" w:color="auto"/>
        <w:left w:val="none" w:sz="0" w:space="0" w:color="auto"/>
        <w:bottom w:val="none" w:sz="0" w:space="0" w:color="auto"/>
        <w:right w:val="none" w:sz="0" w:space="0" w:color="auto"/>
      </w:divBdr>
    </w:div>
    <w:div w:id="495994412">
      <w:bodyDiv w:val="1"/>
      <w:marLeft w:val="0"/>
      <w:marRight w:val="0"/>
      <w:marTop w:val="0"/>
      <w:marBottom w:val="0"/>
      <w:divBdr>
        <w:top w:val="none" w:sz="0" w:space="0" w:color="auto"/>
        <w:left w:val="none" w:sz="0" w:space="0" w:color="auto"/>
        <w:bottom w:val="none" w:sz="0" w:space="0" w:color="auto"/>
        <w:right w:val="none" w:sz="0" w:space="0" w:color="auto"/>
      </w:divBdr>
    </w:div>
    <w:div w:id="568615514">
      <w:bodyDiv w:val="1"/>
      <w:marLeft w:val="0"/>
      <w:marRight w:val="0"/>
      <w:marTop w:val="0"/>
      <w:marBottom w:val="0"/>
      <w:divBdr>
        <w:top w:val="none" w:sz="0" w:space="0" w:color="auto"/>
        <w:left w:val="none" w:sz="0" w:space="0" w:color="auto"/>
        <w:bottom w:val="none" w:sz="0" w:space="0" w:color="auto"/>
        <w:right w:val="none" w:sz="0" w:space="0" w:color="auto"/>
      </w:divBdr>
    </w:div>
    <w:div w:id="617640774">
      <w:bodyDiv w:val="1"/>
      <w:marLeft w:val="0"/>
      <w:marRight w:val="0"/>
      <w:marTop w:val="0"/>
      <w:marBottom w:val="0"/>
      <w:divBdr>
        <w:top w:val="none" w:sz="0" w:space="0" w:color="auto"/>
        <w:left w:val="none" w:sz="0" w:space="0" w:color="auto"/>
        <w:bottom w:val="none" w:sz="0" w:space="0" w:color="auto"/>
        <w:right w:val="none" w:sz="0" w:space="0" w:color="auto"/>
      </w:divBdr>
    </w:div>
    <w:div w:id="623391195">
      <w:bodyDiv w:val="1"/>
      <w:marLeft w:val="0"/>
      <w:marRight w:val="0"/>
      <w:marTop w:val="0"/>
      <w:marBottom w:val="0"/>
      <w:divBdr>
        <w:top w:val="none" w:sz="0" w:space="0" w:color="auto"/>
        <w:left w:val="none" w:sz="0" w:space="0" w:color="auto"/>
        <w:bottom w:val="none" w:sz="0" w:space="0" w:color="auto"/>
        <w:right w:val="none" w:sz="0" w:space="0" w:color="auto"/>
      </w:divBdr>
    </w:div>
    <w:div w:id="918368159">
      <w:bodyDiv w:val="1"/>
      <w:marLeft w:val="0"/>
      <w:marRight w:val="0"/>
      <w:marTop w:val="0"/>
      <w:marBottom w:val="0"/>
      <w:divBdr>
        <w:top w:val="none" w:sz="0" w:space="0" w:color="auto"/>
        <w:left w:val="none" w:sz="0" w:space="0" w:color="auto"/>
        <w:bottom w:val="none" w:sz="0" w:space="0" w:color="auto"/>
        <w:right w:val="none" w:sz="0" w:space="0" w:color="auto"/>
      </w:divBdr>
    </w:div>
    <w:div w:id="1038899582">
      <w:bodyDiv w:val="1"/>
      <w:marLeft w:val="0"/>
      <w:marRight w:val="0"/>
      <w:marTop w:val="0"/>
      <w:marBottom w:val="0"/>
      <w:divBdr>
        <w:top w:val="none" w:sz="0" w:space="0" w:color="auto"/>
        <w:left w:val="none" w:sz="0" w:space="0" w:color="auto"/>
        <w:bottom w:val="none" w:sz="0" w:space="0" w:color="auto"/>
        <w:right w:val="none" w:sz="0" w:space="0" w:color="auto"/>
      </w:divBdr>
    </w:div>
    <w:div w:id="1096828014">
      <w:bodyDiv w:val="1"/>
      <w:marLeft w:val="0"/>
      <w:marRight w:val="0"/>
      <w:marTop w:val="0"/>
      <w:marBottom w:val="0"/>
      <w:divBdr>
        <w:top w:val="none" w:sz="0" w:space="0" w:color="auto"/>
        <w:left w:val="none" w:sz="0" w:space="0" w:color="auto"/>
        <w:bottom w:val="none" w:sz="0" w:space="0" w:color="auto"/>
        <w:right w:val="none" w:sz="0" w:space="0" w:color="auto"/>
      </w:divBdr>
    </w:div>
    <w:div w:id="1129860387">
      <w:bodyDiv w:val="1"/>
      <w:marLeft w:val="0"/>
      <w:marRight w:val="0"/>
      <w:marTop w:val="0"/>
      <w:marBottom w:val="0"/>
      <w:divBdr>
        <w:top w:val="none" w:sz="0" w:space="0" w:color="auto"/>
        <w:left w:val="none" w:sz="0" w:space="0" w:color="auto"/>
        <w:bottom w:val="none" w:sz="0" w:space="0" w:color="auto"/>
        <w:right w:val="none" w:sz="0" w:space="0" w:color="auto"/>
      </w:divBdr>
    </w:div>
    <w:div w:id="1165051436">
      <w:bodyDiv w:val="1"/>
      <w:marLeft w:val="0"/>
      <w:marRight w:val="0"/>
      <w:marTop w:val="0"/>
      <w:marBottom w:val="0"/>
      <w:divBdr>
        <w:top w:val="none" w:sz="0" w:space="0" w:color="auto"/>
        <w:left w:val="none" w:sz="0" w:space="0" w:color="auto"/>
        <w:bottom w:val="none" w:sz="0" w:space="0" w:color="auto"/>
        <w:right w:val="none" w:sz="0" w:space="0" w:color="auto"/>
      </w:divBdr>
    </w:div>
    <w:div w:id="1170873881">
      <w:bodyDiv w:val="1"/>
      <w:marLeft w:val="0"/>
      <w:marRight w:val="0"/>
      <w:marTop w:val="0"/>
      <w:marBottom w:val="0"/>
      <w:divBdr>
        <w:top w:val="none" w:sz="0" w:space="0" w:color="auto"/>
        <w:left w:val="none" w:sz="0" w:space="0" w:color="auto"/>
        <w:bottom w:val="none" w:sz="0" w:space="0" w:color="auto"/>
        <w:right w:val="none" w:sz="0" w:space="0" w:color="auto"/>
      </w:divBdr>
    </w:div>
    <w:div w:id="1304196492">
      <w:bodyDiv w:val="1"/>
      <w:marLeft w:val="0"/>
      <w:marRight w:val="0"/>
      <w:marTop w:val="0"/>
      <w:marBottom w:val="0"/>
      <w:divBdr>
        <w:top w:val="none" w:sz="0" w:space="0" w:color="auto"/>
        <w:left w:val="none" w:sz="0" w:space="0" w:color="auto"/>
        <w:bottom w:val="none" w:sz="0" w:space="0" w:color="auto"/>
        <w:right w:val="none" w:sz="0" w:space="0" w:color="auto"/>
      </w:divBdr>
    </w:div>
    <w:div w:id="1379551833">
      <w:bodyDiv w:val="1"/>
      <w:marLeft w:val="0"/>
      <w:marRight w:val="0"/>
      <w:marTop w:val="0"/>
      <w:marBottom w:val="0"/>
      <w:divBdr>
        <w:top w:val="none" w:sz="0" w:space="0" w:color="auto"/>
        <w:left w:val="none" w:sz="0" w:space="0" w:color="auto"/>
        <w:bottom w:val="none" w:sz="0" w:space="0" w:color="auto"/>
        <w:right w:val="none" w:sz="0" w:space="0" w:color="auto"/>
      </w:divBdr>
    </w:div>
    <w:div w:id="1594704189">
      <w:bodyDiv w:val="1"/>
      <w:marLeft w:val="0"/>
      <w:marRight w:val="0"/>
      <w:marTop w:val="0"/>
      <w:marBottom w:val="0"/>
      <w:divBdr>
        <w:top w:val="none" w:sz="0" w:space="0" w:color="auto"/>
        <w:left w:val="none" w:sz="0" w:space="0" w:color="auto"/>
        <w:bottom w:val="none" w:sz="0" w:space="0" w:color="auto"/>
        <w:right w:val="none" w:sz="0" w:space="0" w:color="auto"/>
      </w:divBdr>
    </w:div>
    <w:div w:id="1633486495">
      <w:bodyDiv w:val="1"/>
      <w:marLeft w:val="0"/>
      <w:marRight w:val="0"/>
      <w:marTop w:val="0"/>
      <w:marBottom w:val="0"/>
      <w:divBdr>
        <w:top w:val="none" w:sz="0" w:space="0" w:color="auto"/>
        <w:left w:val="none" w:sz="0" w:space="0" w:color="auto"/>
        <w:bottom w:val="none" w:sz="0" w:space="0" w:color="auto"/>
        <w:right w:val="none" w:sz="0" w:space="0" w:color="auto"/>
      </w:divBdr>
    </w:div>
    <w:div w:id="1666860922">
      <w:bodyDiv w:val="1"/>
      <w:marLeft w:val="0"/>
      <w:marRight w:val="0"/>
      <w:marTop w:val="0"/>
      <w:marBottom w:val="0"/>
      <w:divBdr>
        <w:top w:val="none" w:sz="0" w:space="0" w:color="auto"/>
        <w:left w:val="none" w:sz="0" w:space="0" w:color="auto"/>
        <w:bottom w:val="none" w:sz="0" w:space="0" w:color="auto"/>
        <w:right w:val="none" w:sz="0" w:space="0" w:color="auto"/>
      </w:divBdr>
    </w:div>
    <w:div w:id="1672878169">
      <w:bodyDiv w:val="1"/>
      <w:marLeft w:val="0"/>
      <w:marRight w:val="0"/>
      <w:marTop w:val="0"/>
      <w:marBottom w:val="0"/>
      <w:divBdr>
        <w:top w:val="none" w:sz="0" w:space="0" w:color="auto"/>
        <w:left w:val="none" w:sz="0" w:space="0" w:color="auto"/>
        <w:bottom w:val="none" w:sz="0" w:space="0" w:color="auto"/>
        <w:right w:val="none" w:sz="0" w:space="0" w:color="auto"/>
      </w:divBdr>
    </w:div>
    <w:div w:id="1721899972">
      <w:bodyDiv w:val="1"/>
      <w:marLeft w:val="0"/>
      <w:marRight w:val="0"/>
      <w:marTop w:val="0"/>
      <w:marBottom w:val="0"/>
      <w:divBdr>
        <w:top w:val="none" w:sz="0" w:space="0" w:color="auto"/>
        <w:left w:val="none" w:sz="0" w:space="0" w:color="auto"/>
        <w:bottom w:val="none" w:sz="0" w:space="0" w:color="auto"/>
        <w:right w:val="none" w:sz="0" w:space="0" w:color="auto"/>
      </w:divBdr>
    </w:div>
    <w:div w:id="1881895832">
      <w:bodyDiv w:val="1"/>
      <w:marLeft w:val="0"/>
      <w:marRight w:val="0"/>
      <w:marTop w:val="0"/>
      <w:marBottom w:val="0"/>
      <w:divBdr>
        <w:top w:val="none" w:sz="0" w:space="0" w:color="auto"/>
        <w:left w:val="none" w:sz="0" w:space="0" w:color="auto"/>
        <w:bottom w:val="none" w:sz="0" w:space="0" w:color="auto"/>
        <w:right w:val="none" w:sz="0" w:space="0" w:color="auto"/>
      </w:divBdr>
    </w:div>
    <w:div w:id="1885289169">
      <w:bodyDiv w:val="1"/>
      <w:marLeft w:val="0"/>
      <w:marRight w:val="0"/>
      <w:marTop w:val="0"/>
      <w:marBottom w:val="0"/>
      <w:divBdr>
        <w:top w:val="none" w:sz="0" w:space="0" w:color="auto"/>
        <w:left w:val="none" w:sz="0" w:space="0" w:color="auto"/>
        <w:bottom w:val="none" w:sz="0" w:space="0" w:color="auto"/>
        <w:right w:val="none" w:sz="0" w:space="0" w:color="auto"/>
      </w:divBdr>
    </w:div>
    <w:div w:id="1934897917">
      <w:bodyDiv w:val="1"/>
      <w:marLeft w:val="0"/>
      <w:marRight w:val="0"/>
      <w:marTop w:val="0"/>
      <w:marBottom w:val="0"/>
      <w:divBdr>
        <w:top w:val="none" w:sz="0" w:space="0" w:color="auto"/>
        <w:left w:val="none" w:sz="0" w:space="0" w:color="auto"/>
        <w:bottom w:val="none" w:sz="0" w:space="0" w:color="auto"/>
        <w:right w:val="none" w:sz="0" w:space="0" w:color="auto"/>
      </w:divBdr>
    </w:div>
    <w:div w:id="1959291634">
      <w:bodyDiv w:val="1"/>
      <w:marLeft w:val="0"/>
      <w:marRight w:val="0"/>
      <w:marTop w:val="0"/>
      <w:marBottom w:val="0"/>
      <w:divBdr>
        <w:top w:val="none" w:sz="0" w:space="0" w:color="auto"/>
        <w:left w:val="none" w:sz="0" w:space="0" w:color="auto"/>
        <w:bottom w:val="none" w:sz="0" w:space="0" w:color="auto"/>
        <w:right w:val="none" w:sz="0" w:space="0" w:color="auto"/>
      </w:divBdr>
    </w:div>
    <w:div w:id="1988775888">
      <w:bodyDiv w:val="1"/>
      <w:marLeft w:val="0"/>
      <w:marRight w:val="0"/>
      <w:marTop w:val="0"/>
      <w:marBottom w:val="0"/>
      <w:divBdr>
        <w:top w:val="none" w:sz="0" w:space="0" w:color="auto"/>
        <w:left w:val="none" w:sz="0" w:space="0" w:color="auto"/>
        <w:bottom w:val="none" w:sz="0" w:space="0" w:color="auto"/>
        <w:right w:val="none" w:sz="0" w:space="0" w:color="auto"/>
      </w:divBdr>
    </w:div>
    <w:div w:id="2005665849">
      <w:bodyDiv w:val="1"/>
      <w:marLeft w:val="0"/>
      <w:marRight w:val="0"/>
      <w:marTop w:val="0"/>
      <w:marBottom w:val="0"/>
      <w:divBdr>
        <w:top w:val="none" w:sz="0" w:space="0" w:color="auto"/>
        <w:left w:val="none" w:sz="0" w:space="0" w:color="auto"/>
        <w:bottom w:val="none" w:sz="0" w:space="0" w:color="auto"/>
        <w:right w:val="none" w:sz="0" w:space="0" w:color="auto"/>
      </w:divBdr>
    </w:div>
    <w:div w:id="2009286250">
      <w:bodyDiv w:val="1"/>
      <w:marLeft w:val="0"/>
      <w:marRight w:val="0"/>
      <w:marTop w:val="0"/>
      <w:marBottom w:val="0"/>
      <w:divBdr>
        <w:top w:val="none" w:sz="0" w:space="0" w:color="auto"/>
        <w:left w:val="none" w:sz="0" w:space="0" w:color="auto"/>
        <w:bottom w:val="none" w:sz="0" w:space="0" w:color="auto"/>
        <w:right w:val="none" w:sz="0" w:space="0" w:color="auto"/>
      </w:divBdr>
    </w:div>
    <w:div w:id="2025553782">
      <w:bodyDiv w:val="1"/>
      <w:marLeft w:val="0"/>
      <w:marRight w:val="0"/>
      <w:marTop w:val="0"/>
      <w:marBottom w:val="0"/>
      <w:divBdr>
        <w:top w:val="none" w:sz="0" w:space="0" w:color="auto"/>
        <w:left w:val="none" w:sz="0" w:space="0" w:color="auto"/>
        <w:bottom w:val="none" w:sz="0" w:space="0" w:color="auto"/>
        <w:right w:val="none" w:sz="0" w:space="0" w:color="auto"/>
      </w:divBdr>
    </w:div>
    <w:div w:id="2083409577">
      <w:bodyDiv w:val="1"/>
      <w:marLeft w:val="0"/>
      <w:marRight w:val="0"/>
      <w:marTop w:val="0"/>
      <w:marBottom w:val="0"/>
      <w:divBdr>
        <w:top w:val="none" w:sz="0" w:space="0" w:color="auto"/>
        <w:left w:val="none" w:sz="0" w:space="0" w:color="auto"/>
        <w:bottom w:val="none" w:sz="0" w:space="0" w:color="auto"/>
        <w:right w:val="none" w:sz="0" w:space="0" w:color="auto"/>
      </w:divBdr>
    </w:div>
    <w:div w:id="212595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1985</TotalTime>
  <Pages>4</Pages>
  <Words>1151</Words>
  <Characters>6564</Characters>
  <Application>Microsoft Office Word</Application>
  <DocSecurity>0</DocSecurity>
  <Lines>54</Lines>
  <Paragraphs>15</Paragraphs>
  <ScaleCrop>false</ScaleCrop>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Yiting</dc:creator>
  <cp:keywords/>
  <dc:description/>
  <cp:lastModifiedBy>Liu, Yiting (UT-BMS)</cp:lastModifiedBy>
  <cp:revision>120</cp:revision>
  <dcterms:created xsi:type="dcterms:W3CDTF">2025-06-22T12:33:00Z</dcterms:created>
  <dcterms:modified xsi:type="dcterms:W3CDTF">2026-02-19T15:50:00Z</dcterms:modified>
</cp:coreProperties>
</file>