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介绍资料-</w:t>
      </w:r>
      <w:r>
        <w:rPr>
          <w:rFonts w:eastAsia="等线" w:ascii="Arial" w:cs="Arial" w:hAnsi="Arial"/>
          <w:b w:val="true"/>
          <w:sz w:val="52"/>
        </w:rPr>
        <w:t>我们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GMA｜Global Market Accelerator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中国品牌 × 海外市场发展系统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在实际出海过程中我们反复看到：真正进入一个新市场，不是找一个营销团队、做几场活动，或是找一个代理机构做本地化包装就能完成的。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的挑战在于：如何围绕品牌的实际发展需求，构建一套能真正嵌入当地市场、持续支撑品牌发展的系统——既懂中国品牌与产品逻辑，也真正进入海外消费者、渠道与行业生态，并在两者之间完成判断、连接、落地与持续增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我们也看到，海外商业空间本身需要更多元、更丰富的品牌与内容，当地消费者也期待买到更多真正好的产品。关键并不在于简单地“把产品带过去”，而在于如何帮助品牌以更有温度的方式被看见、被理解与被接受。在当地市场生态中真正扎根、持续生长，实现长期发展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关于 GMA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GMA 是一个由中国侧团队与海外发展侧多方联合发起、共同推动的出海项目，也是一个连接不同市场资源与能力的海外市场发展系统。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一端</w:t>
      </w:r>
      <w:r>
        <w:rPr>
          <w:rFonts w:eastAsia="等线" w:ascii="Arial" w:cs="Arial" w:hAnsi="Arial"/>
          <w:sz w:val="22"/>
        </w:rPr>
        <w:t>连接中国品牌、团队与产品逻辑；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另一端</w:t>
      </w:r>
      <w:r>
        <w:rPr>
          <w:rFonts w:eastAsia="等线" w:ascii="Arial" w:cs="Arial" w:hAnsi="Arial"/>
          <w:sz w:val="22"/>
        </w:rPr>
        <w:t>连接海外本地消费者、商业场景、渠道与行业生态；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中间通过GMA</w:t>
      </w:r>
      <w:r>
        <w:rPr>
          <w:rFonts w:eastAsia="等线" w:ascii="Arial" w:cs="Arial" w:hAnsi="Arial"/>
          <w:sz w:val="22"/>
        </w:rPr>
        <w:t>，完成判断、连接、落地与持续增长。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为品牌提供一条从市场验证 → 真正进入 → 持续增长的完整路径。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03｜WHO WE ARE</w:t>
      </w:r>
      <w:bookmarkEnd w:id="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中国侧：</w:t>
      </w:r>
      <w:bookmarkEnd w:id="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GMA- China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理解中国品牌的产品逻辑、发展阶段与真实诉求，并在此基础上完成市场判断、路径设计与跨文化协同。团队由具备中国与新加坡、英国等市场经验的核心成员组成，能够在品牌策略、本地化落地与资源匹配之间形成有效连接，确保出海过程既符合品牌自身节奏，也能真正嵌入目标市场的商业生态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团队负责人-JADE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  <w:shd w:fill="fff67a"/>
        </w:rPr>
        <w:t xml:space="preserve">China × Singapore 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Jade 拥有中国、新加坡多地学习与工作经历，长期参与品牌、商业、文化及跨境项目。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曾在新加坡参与本地品牌从 0 到 1 的运营与市场拓展，负责供应链构建、市场增长策略及本地资源整合，推动品牌获《联合早报》报道，并促成与新加坡航空、万豪酒店、DBS 银行等头部品牌的合作。这段经历让她深入了解了海外市场的商业环境与消费者特征，也积累了在多元文化团队中协同推进项目的实际操作经验。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回国后扎根上海，她持续参与中国及国际品牌、文化及 IP 类项目，在政府沟通、资源调度与跨领域协作方面积累了系统性的实践经验。善于在品牌与市场之间建立有效的连接，理解中国品牌的优势与挑战，也清楚海外市场的真实规则与进入门槛。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团队负责人-CARRIE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  <w:shd w:fill="fff67a"/>
        </w:rPr>
        <w:t>China × UK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Carrie 英国学习与工作经历，长期关注品牌出海、跨文化商业实践及本地市场进入策略。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入英国本地市场的商业环境、消费者习惯与行业运作规则。在此期间，参与了中国品牌进入英国市场的相关项目，协助品牌完成市场调研、本地资源对接及落地执行，积累了将中国品牌带入西方市场的实际操作经验。擅长从品牌的具体情况出发，找到进入海外市场的切入点，并对落地环节的可行性有务实判断——包括如何适配本地规则、如何调动可用资源、如何把计划转化为可执行的步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国后，她持续关注中国品牌国际化路径，对不同市场的进入策略、资源匹配与落地方式有系统性的理解。她清楚品牌在海外落地时容易卡在哪些环节，也具备从市场理解到本地连接的实际能力，能够帮助品牌找到可行、可控的落地方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新加坡侧：</w:t>
      </w:r>
      <w:bookmarkEnd w:id="1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GMA- SG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本地团队与核心合作伙伴共同构成，负责市场扫描、本地化落地、渠道对接与持续运营支持。核心职能是：深入理解新加坡本地消费者、商业场景与行业生态，为中国品牌提供真实可执行的进入路径与长期增长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团队覆盖本地化市场研究、线上服务、线下渠道合作及零售场景激活，能够在品牌进入新加坡后，持续提供从场景落地到行业资源连接的全链路支持。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核心合作伙伴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257550" cy="10858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INVADE.co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零售场景与品牌激活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自2010年起深耕新加坡零售激活领域，专注于市集、售卖节、沉浸式体验与品牌空间活化。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旗下运营多个自有品牌与概念，包括大型创意节 </w:t>
      </w:r>
      <w:r>
        <w:rPr>
          <w:rFonts w:eastAsia="等线" w:ascii="Arial" w:cs="Arial" w:hAnsi="Arial"/>
          <w:b w:val="true"/>
          <w:sz w:val="22"/>
        </w:rPr>
        <w:t>Artbox</w:t>
      </w:r>
      <w:r>
        <w:rPr>
          <w:rFonts w:eastAsia="等线" w:ascii="Arial" w:cs="Arial" w:hAnsi="Arial"/>
          <w:sz w:val="22"/>
        </w:rPr>
        <w:t xml:space="preserve">、手作市集 </w:t>
      </w:r>
      <w:r>
        <w:rPr>
          <w:rFonts w:eastAsia="等线" w:ascii="Arial" w:cs="Arial" w:hAnsi="Arial"/>
          <w:b w:val="true"/>
          <w:sz w:val="22"/>
        </w:rPr>
        <w:t>Makers’ Market</w:t>
      </w:r>
      <w:r>
        <w:rPr>
          <w:rFonts w:eastAsia="等线" w:ascii="Arial" w:cs="Arial" w:hAnsi="Arial"/>
          <w:sz w:val="22"/>
        </w:rPr>
        <w:t xml:space="preserve">、二手市集 </w:t>
      </w:r>
      <w:r>
        <w:rPr>
          <w:rFonts w:eastAsia="等线" w:ascii="Arial" w:cs="Arial" w:hAnsi="Arial"/>
          <w:b w:val="true"/>
          <w:sz w:val="22"/>
        </w:rPr>
        <w:t>Fleawhere</w:t>
      </w:r>
      <w:r>
        <w:rPr>
          <w:rFonts w:eastAsia="等线" w:ascii="Arial" w:cs="Arial" w:hAnsi="Arial"/>
          <w:sz w:val="22"/>
        </w:rPr>
        <w:t xml:space="preserve">、咖啡社区活动 </w:t>
      </w:r>
      <w:r>
        <w:rPr>
          <w:rFonts w:eastAsia="等线" w:ascii="Arial" w:cs="Arial" w:hAnsi="Arial"/>
          <w:b w:val="true"/>
          <w:sz w:val="22"/>
        </w:rPr>
        <w:t>Weekend Brew Club</w:t>
      </w:r>
      <w:r>
        <w:rPr>
          <w:rFonts w:eastAsia="等线" w:ascii="Arial" w:cs="Arial" w:hAnsi="Arial"/>
          <w:sz w:val="22"/>
        </w:rPr>
        <w:t xml:space="preserve">，以及创新零售实验平台 </w:t>
      </w:r>
      <w:r>
        <w:rPr>
          <w:rFonts w:eastAsia="等线" w:ascii="Arial" w:cs="Arial" w:hAnsi="Arial"/>
          <w:b w:val="true"/>
          <w:sz w:val="22"/>
        </w:rPr>
        <w:t>RED LABEL</w:t>
      </w:r>
      <w:r>
        <w:rPr>
          <w:rFonts w:eastAsia="等线" w:ascii="Arial" w:cs="Arial" w:hAnsi="Arial"/>
          <w:sz w:val="22"/>
        </w:rPr>
        <w:t>，形成覆盖新兴品牌、创作者与社区的多层次生态。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合作商业群超过1万+，涵盖新锐品牌、小众设计师、手工创意、餐饮等业态。（约覆盖新加坡本地80%的线下零售销售活动网络）其标志性活动“创业嘉年华”单场吸引近5万付费入场消费人群，具备强大的流量与转化能力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Singapore Retailers Association (SRA)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新加坡零售业的主要行业代表机构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SRA 是新加坡零售行业的核心网络平台，覆盖本地主要零售商及商业资源。作为行业与政府之间的重要桥梁，SRA 代表零售业与 Enterprise Singapore、Workforce Singapore、Singapore Tourism Board 等机构沟通，积极推动零售业数字化转型、生产力提升、体验式消费升级，以及本地零售商的国际化发展，在行业生态中扮演关键角色。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191000" cy="1866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Singapore Retail Festival (SRF)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政府背书的零售生态整合平台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SRF 是新加坡零售生态中的重要商业合作网络，帮助品牌深入理解本地零售环境并建立有效商业连接。活动约有3,000家门店参与，聚焦体验式零售（包括互动激活、快闪店、工作坊等），有效吸引本地与国际客流，同时展示新加坡零售创新成果，连接品牌、商场与消费者的核心节日平台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505200" cy="16192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Enterprise Singapore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新加坡政府推动企业发展的主要机构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Enterprise Singapore 隶属于新加坡贸工部（Ministry of Trade and Industry, MTI），是以企业为中心的国家级机构，支持不同发展阶段的公司（初创企业、中小企业及高成长企业）进行能力建设、创新与国际化。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2025年，该机构共支持约11,700家企业，其中2,400家开展转型项目，预计带来约123亿新元额外年收入，并创造约1万个技术岗位，是推动新加坡企业成长与产业升级的核心力量。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981450" cy="16002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核心商圈网络：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两大商圈定位互补，可同时服务高端形象塑造与大众市场激活需求：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乌节路（Orchard Road）商圈物业</w:t>
      </w:r>
      <w:r>
        <w:rPr>
          <w:rFonts w:eastAsia="等线" w:ascii="Arial" w:cs="Arial" w:hAnsi="Arial"/>
          <w:sz w:val="22"/>
        </w:rPr>
        <w:br/>
        <w:br/>
      </w:r>
      <w:r>
        <w:rPr>
          <w:rFonts w:eastAsia="等线" w:ascii="Arial" w:cs="Arial" w:hAnsi="Arial"/>
          <w:sz w:val="22"/>
        </w:rPr>
        <w:t>新加坡最标志性的高端购物与生活方式大道，是国际品牌进入新加坡的核心展示窗口。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 ION Orchard、Ngee Ann City、Paragon 等高端物业为代表，聚焦国际品牌与高净值客群。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武吉士（Bugis）商圈物业 — Bugis Town</w:t>
      </w:r>
      <w:r>
        <w:rPr>
          <w:rFonts w:eastAsia="等线" w:ascii="Arial" w:cs="Arial" w:hAnsi="Arial"/>
          <w:sz w:val="22"/>
        </w:rPr>
        <w:br/>
        <w:br/>
      </w:r>
      <w:r>
        <w:rPr>
          <w:rFonts w:eastAsia="等线" w:ascii="Arial" w:cs="Arial" w:hAnsi="Arial"/>
          <w:sz w:val="22"/>
        </w:rPr>
        <w:t>CapitaLand 集团整合运营的亲民潮流零售生态。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位于新加坡市中心文化区，由 Bugis Junction、Bugis+ 与 Bugis Street 三大物业无缝连接，总零售面积超过 80 万平方英尺，形成完整的“商场 + 市集”体验闭环。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06"/>
        <w:gridCol w:w="3773"/>
      </w:tblGrid>
      <w:tr>
        <w:tc>
          <w:tcPr>
            <w:tcW w:w="450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705100" cy="151447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38375" cy="150495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总结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GMA 汇聚中国侧与新加坡本地的实践经验、行业网络与落地资源，共同构建一套真正服务于中国品牌海外发展的支持系统。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我们相信，好的连接不只是资源的叠加，而是理解、判断与持续协作的结果。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无论您处于市场验证、落地进入，还是寻求长期增长的阶段，GMA 都愿意成为可靠的同行者。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期待与更多有志于真实出海的品牌与团队相遇，共同开启下一站市场。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品牌案例：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新锐品牌--素循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仅用10个月，在新加坡生根发芽 快速发展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1510"/>
        <w:gridCol w:w="1502"/>
        <w:gridCol w:w="1527"/>
        <w:gridCol w:w="1452"/>
        <w:gridCol w:w="1143"/>
        <w:gridCol w:w="1143"/>
      </w:tblGrid>
      <w:tr>
        <w:tc>
          <w:tcPr>
            <w:tcW w:w="1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0100" cy="80010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0100" cy="800100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800100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62000" cy="800100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71500" cy="762000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71500" cy="762000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1297"/>
        <w:gridCol w:w="1006"/>
        <w:gridCol w:w="1676"/>
        <w:gridCol w:w="1789"/>
        <w:gridCol w:w="1526"/>
        <w:gridCol w:w="983"/>
      </w:tblGrid>
      <w:tr>
        <w:tc>
          <w:tcPr>
            <w:tcW w:w="129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666750" cy="895350"/>
                  <wp:docPr id="12" name="Drawing 1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85775" cy="838200"/>
                  <wp:docPr id="13" name="Drawing 1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04875" cy="933450"/>
                  <wp:docPr id="14" name="Drawing 1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81075" cy="942975"/>
                  <wp:docPr id="15" name="Drawing 1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914400"/>
                  <wp:docPr id="16" name="Drawing 1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66725" cy="838200"/>
                  <wp:docPr id="17" name="Drawing 1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创始人：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进入当地消费场域---</w:t>
      </w:r>
      <w:r>
        <w:rPr>
          <w:rFonts w:eastAsia="等线" w:ascii="Arial" w:cs="Arial" w:hAnsi="Arial"/>
          <w:b w:val="true"/>
          <w:sz w:val="22"/>
        </w:rPr>
        <w:t>让我感受最深的是很多事情只有真正来到线下，才会发生。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与消费者：</w:t>
      </w:r>
      <w:r>
        <w:rPr>
          <w:rFonts w:eastAsia="等线" w:ascii="Arial" w:cs="Arial" w:hAnsi="Arial"/>
          <w:sz w:val="22"/>
        </w:rPr>
        <w:t>面对面和消费者交流之后，我们第一次很直接地感受到，他们为什么喜欢产品、会被什么细节打动，以及真实的购买反馈。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与本地机会：</w:t>
      </w:r>
      <w:r>
        <w:rPr>
          <w:rFonts w:eastAsia="等线" w:ascii="Arial" w:cs="Arial" w:hAnsi="Arial"/>
          <w:sz w:val="22"/>
        </w:rPr>
        <w:t>很多后续的合作机会，是在现场一次次交流、认识和链接中自然发生的。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尤其是在和当地消费者、PR以及合作伙伴接触之后，会明显发现，原本陌生的市场，也会因为一次真实的见面，迅速拉近距离。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本地市场反馈：</w:t>
      </w:r>
      <w:r>
        <w:rPr>
          <w:rFonts w:eastAsia="等线" w:ascii="Arial" w:cs="Arial" w:hAnsi="Arial"/>
          <w:sz w:val="22"/>
        </w:rPr>
        <w:t>3天半的</w:t>
      </w:r>
      <w:r>
        <w:rPr>
          <w:rFonts w:eastAsia="等线" w:ascii="Arial" w:cs="Arial" w:hAnsi="Arial"/>
          <w:sz w:val="22"/>
        </w:rPr>
        <w:t>展卖</w:t>
      </w:r>
      <w:r>
        <w:rPr>
          <w:rFonts w:eastAsia="等线" w:ascii="Arial" w:cs="Arial" w:hAnsi="Arial"/>
          <w:sz w:val="22"/>
        </w:rPr>
        <w:t>里，我们两次卖空库存；更意外的是，在展</w:t>
      </w:r>
      <w:r>
        <w:rPr>
          <w:rFonts w:eastAsia="等线" w:ascii="Arial" w:cs="Arial" w:hAnsi="Arial"/>
          <w:sz w:val="22"/>
        </w:rPr>
        <w:t>卖</w:t>
      </w:r>
      <w:r>
        <w:rPr>
          <w:rFonts w:eastAsia="等线" w:ascii="Arial" w:cs="Arial" w:hAnsi="Arial"/>
          <w:sz w:val="22"/>
        </w:rPr>
        <w:t>还没有结束时，就已经出现了回购和复购，约占总订单量的10%。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这次经历也让我重新理解了做品牌这件事。很幸运的是，我们只是通过一个产品，就有机会进入很多人的生活，并链接到一个个非常私人、真实的情感瞬间。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案例拆解：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素循（SUKOON）：新锐品牌，在新加坡从0到1生根发芽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一句话总结：不靠铺天盖地的广告，不靠烧钱投流，用7个月跑遍线下展会，一单一单验证市场、观察微表情、收集真实反馈，最终成为曼谷展会上唯一全售空的年轻品牌。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1 背景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2025年12月，Ashley周创立了SUKOON素循——首个以补充装为核心的香氛洗护家清品牌。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品牌以 “回归感知，生长秩序” 为理念，通过订阅制系统，在每个清洁节点提供更好的使用体验，减少日常决策负担。但理念再好，消费者是否买单，仍是未知数。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2 发展路径拆解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2.1 VALIDATE｜先验证，再投入——7个月跑遍线下展会&amp;售卖空间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素循没有选择一上来就铺广告、投流量的“赌注式进入”。相反，创始人Ashley做了一个反直觉的决定：前7个月全部投入线下验证。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创始人：“品牌上市的时候，我突然丧失了表达的欲望——我非常想听到真实的反馈。”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为什么选择线下验证？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对新加坡市场的深刻洞察：新加坡电商数据中，品类前5名月销才六七千单，第3名开始断崖式跌到一两千——这样的体量养不活一个新品牌。与其在线上烧钱抢存量，不如在线下找到真实的消费者。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验证方法论：微表情就是数据库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在7个月的线下验证中，素循跑了7个展会、市集和售卖空间，采用了一套极其精细的验证方法：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观察用户路过展位时的微表情——什么让他停下来？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闻到味道的第一反应——香气是否打动他？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哪句话引起了兴趣——什么卖点真正有效？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对价格的第一反应——定价是否在心理账户内？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创始人：“重复上百上千遍验证，防止founder bias。”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每一次验证都在回答一个核心问题：新加坡本地消费者真的会买单吗？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验证结果：数据说话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在曼谷国际品牌售卖会，素循作为全场最年轻的品牌 ，成为唯一全售空的品牌。这不仅是销售数字的胜利，更是验证方法论的成功——产品、价格、品牌定位得到了真实市场的检验。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2.2 ENTER｜从验证到精准进入——把机会变成商业落地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验证跑通后，素循没有盲目扩张，而是基于验证结果精准进入：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产品验证：通过线下展会的真实销售数据，确认了核心SKU、价格带和消费者偏好。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渠道拓展：基于验证中积累的渠道反馈，素循成功拓展至曼谷和香港的线下渠道。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品牌认知：在一次次与消费者面对面的交流中，品牌不仅卖出了产品，更建立了本地认知和信任。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2.3 GROW｜进入之后，如何持续增长？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完成验证和初步进入后，素循进入持续增长阶段，策略升级为 “从被认识、被看见，到被记住、被复购” 的全链路增长体系。围绕 线下扩张、线上增长、产品升级 三个维度同步推进，形成“增长三角”闭环。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线下持续扩张渠道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已验证的线下模式系统化复制到更多市场——继新加坡首站验证成功后，素循已成功进入曼谷、香港的线下渠道，持续拓展东南亚零售网络。每一站均沿用“先线下验证→再本地化扎根”的成熟路径，以最小风险实现区域复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线上全面增长体系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在完成线下渠道的初步拓展后，素循开始将增长重心转向线上，联动本地团队，从社交媒体种草、独立站转化闭环到精准KOL/PR联动，系统推进品牌的全域露出与增长转化。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产品升级与扩充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素循现已全面开始新产品线的研发与上市筹备——以已验证的用户洞察和市场反馈为依据，围绕用户未被满足的需求进行产品迭代与品类拓展，持续丰富品牌产品矩阵，为下一阶段的增长储备新动能。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  <w:shd w:fill="fff67a"/>
        </w:rPr>
        <w:t>05 创始人说：为什么“先验证”是对的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  <w:shd w:fill="fff67a"/>
        </w:rPr>
        <w:t>3. GMA如何助力素循的出海路径</w:t>
      </w:r>
      <w:bookmarkEnd w:id="3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12pt;mso-width-percent:0;mso-height-percent:0;mso-width-percent:0;mso-height-percent:0" type="#_x0000_t75" o:ole="">
            <v:imagedata r:id="rId24" o:title=""/>
          </v:shape>
          <o:OLEObject DrawAspect="Icon" ObjectID="_1718471219" ProgID="Excel.Sheet.12" ShapeID="_x0000_i1025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素循的核心启示：在不确定的市场中，先用最小成本验证，拿到真实销售数据与反馈，再决定增长策略——这正是GMA始终倡导的出海理念。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  <w:shd w:fill="fff67a"/>
        </w:rPr>
        <w:t>数据亮点</w:t>
      </w:r>
      <w:bookmarkEnd w:id="32"/>
    </w:p>
    <w:p>
      <w:pPr>
        <w:spacing w:before="120" w:after="120" w:line="288" w:lineRule="auto"/>
        <w:ind w:left="0"/>
      </w:pPr>
      <w:r>
        <w:object>
          <v:shape id="_x0000_i1026" style="width:414pt;height:128pt;mso-width-percent:0;mso-height-percent:0;mso-width-percent:0;mso-height-percent:0" type="#_x0000_t75" o:ole="">
            <v:imagedata r:id="rId26" o:title=""/>
          </v:shape>
          <o:OLEObject DrawAspect="Icon" ObjectID="_1718471220" ProgID="Excel.Sheet.12" ShapeID="_x0000_i1026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39600">
    <w:lvl>
      <w:numFmt w:val="bullet"/>
      <w:suff w:val="tab"/>
      <w:lvlText w:val="•"/>
      <w:rPr>
        <w:color w:val="3370ff"/>
      </w:rPr>
    </w:lvl>
  </w:abstractNum>
  <w:abstractNum w:abstractNumId="1339601">
    <w:lvl>
      <w:numFmt w:val="bullet"/>
      <w:suff w:val="tab"/>
      <w:lvlText w:val="•"/>
      <w:rPr>
        <w:color w:val="3370ff"/>
      </w:rPr>
    </w:lvl>
  </w:abstractNum>
  <w:abstractNum w:abstractNumId="1339602">
    <w:lvl>
      <w:numFmt w:val="bullet"/>
      <w:suff w:val="tab"/>
      <w:lvlText w:val="•"/>
      <w:rPr>
        <w:color w:val="3370ff"/>
      </w:rPr>
    </w:lvl>
  </w:abstractNum>
  <w:abstractNum w:abstractNumId="1339603">
    <w:lvl>
      <w:numFmt w:val="bullet"/>
      <w:suff w:val="tab"/>
      <w:lvlText w:val="•"/>
      <w:rPr>
        <w:color w:val="3370ff"/>
      </w:rPr>
    </w:lvl>
  </w:abstractNum>
  <w:abstractNum w:abstractNumId="1339604">
    <w:lvl>
      <w:numFmt w:val="bullet"/>
      <w:suff w:val="tab"/>
      <w:lvlText w:val="•"/>
      <w:rPr>
        <w:color w:val="3370ff"/>
      </w:rPr>
    </w:lvl>
  </w:abstractNum>
  <w:abstractNum w:abstractNumId="1339605">
    <w:lvl>
      <w:numFmt w:val="bullet"/>
      <w:suff w:val="tab"/>
      <w:lvlText w:val="•"/>
      <w:rPr>
        <w:color w:val="3370ff"/>
      </w:rPr>
    </w:lvl>
  </w:abstractNum>
  <w:abstractNum w:abstractNumId="1339606">
    <w:lvl>
      <w:numFmt w:val="bullet"/>
      <w:suff w:val="tab"/>
      <w:lvlText w:val="•"/>
      <w:rPr>
        <w:color w:val="3370ff"/>
      </w:rPr>
    </w:lvl>
  </w:abstractNum>
  <w:num w:numId="1">
    <w:abstractNumId w:val="1339600"/>
  </w:num>
  <w:num w:numId="2">
    <w:abstractNumId w:val="1339601"/>
  </w:num>
  <w:num w:numId="3">
    <w:abstractNumId w:val="1339602"/>
  </w:num>
  <w:num w:numId="4">
    <w:abstractNumId w:val="1339603"/>
  </w:num>
  <w:num w:numId="5">
    <w:abstractNumId w:val="1339604"/>
  </w:num>
  <w:num w:numId="6">
    <w:abstractNumId w:val="1339605"/>
  </w:num>
  <w:num w:numId="7">
    <w:abstractNumId w:val="133960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jpeg" Type="http://schemas.openxmlformats.org/officeDocument/2006/relationships/image"/><Relationship Id="rId12" Target="media/image8.jpeg" Type="http://schemas.openxmlformats.org/officeDocument/2006/relationships/image"/><Relationship Id="rId13" Target="media/image9.jpeg" Type="http://schemas.openxmlformats.org/officeDocument/2006/relationships/image"/><Relationship Id="rId14" Target="media/image10.jpeg" Type="http://schemas.openxmlformats.org/officeDocument/2006/relationships/image"/><Relationship Id="rId15" Target="media/image11.jpeg" Type="http://schemas.openxmlformats.org/officeDocument/2006/relationships/image"/><Relationship Id="rId16" Target="media/image12.jpeg" Type="http://schemas.openxmlformats.org/officeDocument/2006/relationships/image"/><Relationship Id="rId17" Target="media/image13.jpeg" Type="http://schemas.openxmlformats.org/officeDocument/2006/relationships/image"/><Relationship Id="rId18" Target="media/image14.jpeg" Type="http://schemas.openxmlformats.org/officeDocument/2006/relationships/image"/><Relationship Id="rId19" Target="media/image15.jpeg" Type="http://schemas.openxmlformats.org/officeDocument/2006/relationships/image"/><Relationship Id="rId2" Target="styles.xml" Type="http://schemas.openxmlformats.org/officeDocument/2006/relationships/styles"/><Relationship Id="rId20" Target="media/image16.jpeg" Type="http://schemas.openxmlformats.org/officeDocument/2006/relationships/image"/><Relationship Id="rId21" Target="media/image17.jpeg" Type="http://schemas.openxmlformats.org/officeDocument/2006/relationships/image"/><Relationship Id="rId22" Target="media/image18.jpeg" Type="http://schemas.openxmlformats.org/officeDocument/2006/relationships/image"/><Relationship Id="rId23" Target="embeddings/Microsoft_Excel_Worksheet1.xlsx" Type="http://schemas.openxmlformats.org/officeDocument/2006/relationships/package"/><Relationship Id="rId24" Target="media/image19.png" Type="http://schemas.openxmlformats.org/officeDocument/2006/relationships/image"/><Relationship Id="rId25" Target="embeddings/Microsoft_Excel_Worksheet2.xlsx" Type="http://schemas.openxmlformats.org/officeDocument/2006/relationships/package"/><Relationship Id="rId26" Target="media/image20.png" Type="http://schemas.openxmlformats.org/officeDocument/2006/relationships/image"/><Relationship Id="rId27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2026-09-07T12:44:15Z</dcterms:created>
  <dc:creator>Apache POI</dc:creator>
</cp:coreProperties>
</file>