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AI-Native Manufacturing ERP</w:t>
      </w:r>
    </w:p>
    <w:p>
      <w:pPr>
        <w:jc w:val="center"/>
      </w:pPr>
      <w:r>
        <w:rPr>
          <w:i/>
          <w:sz w:val="24"/>
        </w:rPr>
        <w:t>Backend, Database, AI Services &amp; Detailed Instructions for the AI Coding Agent</w:t>
      </w:r>
    </w:p>
    <w:p/>
    <w:p>
      <w:pPr>
        <w:pStyle w:val="Heading1"/>
      </w:pPr>
      <w:r>
        <w:t>1. Backend Mission</w:t>
      </w:r>
    </w:p>
    <w:p>
      <w:r>
        <w:t>Build a secure, modular, transactional ERP backend with clear domain boundaries. The backend is the authoritative system of record. Business invariants, authorization, financial rules, inventory rules and workflow rules must be enforced here.</w:t>
      </w:r>
    </w:p>
    <w:p>
      <w:pPr>
        <w:pStyle w:val="Heading1"/>
      </w:pPr>
      <w:r>
        <w:t>2. Backend Stack</w:t>
      </w:r>
    </w:p>
    <w:p>
      <w:pPr>
        <w:pStyle w:val="ListBullet"/>
      </w:pPr>
      <w:r>
        <w:t>Java LTS selected from the current supported LTS line at implementation time.</w:t>
      </w:r>
    </w:p>
    <w:p>
      <w:pPr>
        <w:pStyle w:val="ListBullet"/>
      </w:pPr>
      <w:r>
        <w:t>Spring Boot 4.x latest stable patch compatible with the selected Java LTS.</w:t>
      </w:r>
    </w:p>
    <w:p>
      <w:pPr>
        <w:pStyle w:val="ListBullet"/>
      </w:pPr>
      <w:r>
        <w:t>Spring Web for REST APIs.</w:t>
      </w:r>
    </w:p>
    <w:p>
      <w:pPr>
        <w:pStyle w:val="ListBullet"/>
      </w:pPr>
      <w:r>
        <w:t>Spring Security for authentication/authorization integration.</w:t>
      </w:r>
    </w:p>
    <w:p>
      <w:pPr>
        <w:pStyle w:val="ListBullet"/>
      </w:pPr>
      <w:r>
        <w:t>Spring Data JPA + Hibernate for relational persistence.</w:t>
      </w:r>
    </w:p>
    <w:p>
      <w:pPr>
        <w:pStyle w:val="ListBullet"/>
      </w:pPr>
      <w:r>
        <w:t>Bean Validation for request/domain validation where appropriate.</w:t>
      </w:r>
    </w:p>
    <w:p>
      <w:pPr>
        <w:pStyle w:val="ListBullet"/>
      </w:pPr>
      <w:r>
        <w:t>Flyway or Liquibase for schema migrations; choose one and standardize on it.</w:t>
      </w:r>
    </w:p>
    <w:p>
      <w:pPr>
        <w:pStyle w:val="ListBullet"/>
      </w:pPr>
      <w:r>
        <w:t>Spring for Kafka for event publishing/consumption.</w:t>
      </w:r>
    </w:p>
    <w:p>
      <w:pPr>
        <w:pStyle w:val="ListBullet"/>
      </w:pPr>
      <w:r>
        <w:t>Redis client/integration for caching and short-lived state.</w:t>
      </w:r>
    </w:p>
    <w:p>
      <w:pPr>
        <w:pStyle w:val="ListBullet"/>
      </w:pPr>
      <w:r>
        <w:t>Testcontainers for integration tests.</w:t>
      </w:r>
    </w:p>
    <w:p>
      <w:pPr>
        <w:pStyle w:val="ListBullet"/>
      </w:pPr>
      <w:r>
        <w:t>OpenAPI/Swagger-compatible API documentation.</w:t>
      </w:r>
    </w:p>
    <w:p>
      <w:pPr>
        <w:pStyle w:val="ListBullet"/>
      </w:pPr>
      <w:r>
        <w:t>Micrometer/OpenTelemetry-compatible observability.</w:t>
      </w:r>
    </w:p>
    <w:p>
      <w:pPr>
        <w:pStyle w:val="Heading1"/>
      </w:pPr>
      <w:r>
        <w:t>3. Backend Architecture</w:t>
      </w:r>
    </w:p>
    <w:p>
      <w:pPr>
        <w:ind w:left="360"/>
      </w:pPr>
      <w:r>
        <w:rPr>
          <w:rFonts w:ascii="Consolas" w:hAnsi="Consolas"/>
          <w:sz w:val="18"/>
        </w:rPr>
        <w:t>com.example.erp</w:t>
        <w:br/>
        <w:t xml:space="preserve">  common/</w:t>
        <w:br/>
        <w:t xml:space="preserve">    error/</w:t>
        <w:br/>
        <w:t xml:space="preserve">    security/</w:t>
        <w:br/>
        <w:t xml:space="preserve">    audit/</w:t>
        <w:br/>
        <w:t xml:space="preserve">    pagination/</w:t>
        <w:br/>
        <w:t xml:space="preserve">    events/</w:t>
        <w:br/>
        <w:t xml:space="preserve">    observability/</w:t>
        <w:br/>
        <w:t xml:space="preserve">  identity/</w:t>
        <w:br/>
        <w:t xml:space="preserve">  tenant/</w:t>
        <w:br/>
        <w:t xml:space="preserve">  crm/</w:t>
        <w:br/>
        <w:t xml:space="preserve">  sales/</w:t>
        <w:br/>
        <w:t xml:space="preserve">  procurement/</w:t>
        <w:br/>
        <w:t xml:space="preserve">  inventory/</w:t>
        <w:br/>
        <w:t xml:space="preserve">  manufacturing/</w:t>
        <w:br/>
        <w:t xml:space="preserve">  quality/</w:t>
        <w:br/>
        <w:t xml:space="preserve">  finance/</w:t>
        <w:br/>
        <w:t xml:space="preserve">  assets/</w:t>
        <w:br/>
        <w:t xml:space="preserve">  workforce/</w:t>
        <w:br/>
        <w:t xml:space="preserve">  workflow/</w:t>
        <w:br/>
        <w:t xml:space="preserve">  analytics/</w:t>
        <w:br/>
        <w:t xml:space="preserve">  ai/</w:t>
        <w:br/>
      </w:r>
    </w:p>
    <w:p>
      <w:r>
        <w:t>Use a modular-monolith architecture with domain-oriented packages. Each module owns its domain logic and persistence boundaries. Avoid a giant shared service layer that mixes unrelated business concepts.</w:t>
      </w:r>
    </w:p>
    <w:p>
      <w:pPr>
        <w:pStyle w:val="Heading1"/>
      </w:pPr>
      <w:r>
        <w:t>4. API Standards</w:t>
      </w:r>
    </w:p>
    <w:p>
      <w:pPr>
        <w:pStyle w:val="ListBullet"/>
      </w:pPr>
      <w:r>
        <w:t>Use resource-oriented REST APIs with consistent naming, status codes, validation errors and pagination.</w:t>
      </w:r>
    </w:p>
    <w:p>
      <w:pPr>
        <w:pStyle w:val="ListBullet"/>
      </w:pPr>
      <w:r>
        <w:t>Version public APIs when compatibility requires it.</w:t>
      </w:r>
    </w:p>
    <w:p>
      <w:pPr>
        <w:pStyle w:val="ListBullet"/>
      </w:pPr>
      <w:r>
        <w:t>Use stable identifiers; UUIDs are preferred for externally exposed entity IDs unless a domain-specific identifier is required.</w:t>
      </w:r>
    </w:p>
    <w:p>
      <w:pPr>
        <w:pStyle w:val="ListBullet"/>
      </w:pPr>
      <w:r>
        <w:t>Return machine-readable error structures with correlation IDs.</w:t>
      </w:r>
    </w:p>
    <w:p>
      <w:pPr>
        <w:pStyle w:val="ListBullet"/>
      </w:pPr>
      <w:r>
        <w:t>Document APIs through OpenAPI.</w:t>
      </w:r>
    </w:p>
    <w:p>
      <w:pPr>
        <w:pStyle w:val="ListBullet"/>
      </w:pPr>
      <w:r>
        <w:t>Support idempotency for operations where clients may safely retry, especially payments, order creation, inventory movements and event handlers.</w:t>
      </w:r>
    </w:p>
    <w:p>
      <w:pPr>
        <w:pStyle w:val="ListBullet"/>
      </w:pPr>
      <w:r>
        <w:t>Never expose internal stack traces or SQL errors to clients.</w:t>
      </w:r>
    </w:p>
    <w:p>
      <w:pPr>
        <w:pStyle w:val="Heading1"/>
      </w:pPr>
      <w:r>
        <w:t>5. Security Architecture</w:t>
      </w:r>
    </w:p>
    <w:p>
      <w:pPr>
        <w:pStyle w:val="ListBullet"/>
      </w:pPr>
      <w:r>
        <w:t>Tenant context must be established and validated for every authenticated request.</w:t>
      </w:r>
    </w:p>
    <w:p>
      <w:pPr>
        <w:pStyle w:val="ListBullet"/>
      </w:pPr>
      <w:r>
        <w:t>Use RBAC for baseline access and add resource/tenant constraints where necessary.</w:t>
      </w:r>
    </w:p>
    <w:p>
      <w:pPr>
        <w:pStyle w:val="ListBullet"/>
      </w:pPr>
      <w:r>
        <w:t>Enforce authorization in application services and critical data-access boundaries.</w:t>
      </w:r>
    </w:p>
    <w:p>
      <w:pPr>
        <w:pStyle w:val="ListBullet"/>
      </w:pPr>
      <w:r>
        <w:t>Use least privilege for service credentials.</w:t>
      </w:r>
    </w:p>
    <w:p>
      <w:pPr>
        <w:pStyle w:val="ListBullet"/>
      </w:pPr>
      <w:r>
        <w:t>Audit authentication, authorization failures, important reads where required, and all significant state-changing operations.</w:t>
      </w:r>
    </w:p>
    <w:p>
      <w:pPr>
        <w:pStyle w:val="ListBullet"/>
      </w:pPr>
      <w:r>
        <w:t>Protect sensitive configuration with environment/secret management.</w:t>
      </w:r>
    </w:p>
    <w:p>
      <w:pPr>
        <w:pStyle w:val="ListBullet"/>
      </w:pPr>
      <w:r>
        <w:t>Apply rate limits to authentication, AI endpoints and expensive operations.</w:t>
      </w:r>
    </w:p>
    <w:p>
      <w:pPr>
        <w:pStyle w:val="ListBullet"/>
      </w:pPr>
      <w:r>
        <w:t>Use secure password hashing if the application owns credentials; otherwise prefer an OIDC identity provider.</w:t>
      </w:r>
    </w:p>
    <w:p>
      <w:pPr>
        <w:pStyle w:val="Heading1"/>
      </w:pPr>
      <w:r>
        <w:t>6. Core Database Principles</w:t>
      </w:r>
    </w:p>
    <w:p>
      <w:pPr>
        <w:pStyle w:val="ListBullet"/>
      </w:pPr>
      <w:r>
        <w:t>PostgreSQL is the system of record.</w:t>
      </w:r>
    </w:p>
    <w:p>
      <w:pPr>
        <w:pStyle w:val="ListBullet"/>
      </w:pPr>
      <w:r>
        <w:t>Use PostgreSQL 18.x supported stable branch at project initialization unless official compatibility constraints require another supported branch.</w:t>
      </w:r>
    </w:p>
    <w:p>
      <w:pPr>
        <w:pStyle w:val="ListBullet"/>
      </w:pPr>
      <w:r>
        <w:t>Use normalized relational models for transactional data.</w:t>
      </w:r>
    </w:p>
    <w:p>
      <w:pPr>
        <w:pStyle w:val="ListBullet"/>
      </w:pPr>
      <w:r>
        <w:t>Use JSONB only for genuinely semi-structured/extensible attributes, not as a replacement for relational modeling.</w:t>
      </w:r>
    </w:p>
    <w:p>
      <w:pPr>
        <w:pStyle w:val="ListBullet"/>
      </w:pPr>
      <w:r>
        <w:t>Use foreign keys and database constraints to protect invariants.</w:t>
      </w:r>
    </w:p>
    <w:p>
      <w:pPr>
        <w:pStyle w:val="ListBullet"/>
      </w:pPr>
      <w:r>
        <w:t>Use unique constraints for business keys where required.</w:t>
      </w:r>
    </w:p>
    <w:p>
      <w:pPr>
        <w:pStyle w:val="ListBullet"/>
      </w:pPr>
      <w:r>
        <w:t>Use indexes based on actual query patterns.</w:t>
      </w:r>
    </w:p>
    <w:p>
      <w:pPr>
        <w:pStyle w:val="ListBullet"/>
      </w:pPr>
      <w:r>
        <w:t>Use timestamps consistently and define UTC storage semantics.</w:t>
      </w:r>
    </w:p>
    <w:p>
      <w:pPr>
        <w:pStyle w:val="ListBullet"/>
      </w:pPr>
      <w:r>
        <w:t>Use decimal/numeric types for money and quantities requiring exact arithmetic.</w:t>
      </w:r>
    </w:p>
    <w:p>
      <w:pPr>
        <w:pStyle w:val="ListBullet"/>
      </w:pPr>
      <w:r>
        <w:t>Use optimistic locking/versioning for concurrent edits where appropriate.</w:t>
      </w:r>
    </w:p>
    <w:p>
      <w:pPr>
        <w:pStyle w:val="ListBullet"/>
      </w:pPr>
      <w:r>
        <w:t>Use append-only ledgers for inventory and accounting history.</w:t>
      </w:r>
    </w:p>
    <w:p>
      <w:pPr>
        <w:pStyle w:val="Heading1"/>
      </w:pPr>
      <w:r>
        <w:t>7. Tenant Isolation</w:t>
      </w:r>
    </w:p>
    <w:p>
      <w:r>
        <w:t>Every tenant-owned table should carry a tenant identifier or be reachable through a tenant-scoped parent. The design must make cross-tenant access difficult by construction.</w:t>
      </w:r>
    </w:p>
    <w:p>
      <w:pPr>
        <w:pStyle w:val="ListBullet"/>
      </w:pPr>
      <w:r>
        <w:t>Establish tenant context at authentication/request boundary.</w:t>
      </w:r>
    </w:p>
    <w:p>
      <w:pPr>
        <w:pStyle w:val="ListBullet"/>
      </w:pPr>
      <w:r>
        <w:t>Include tenant predicates in repositories/services.</w:t>
      </w:r>
    </w:p>
    <w:p>
      <w:pPr>
        <w:pStyle w:val="ListBullet"/>
      </w:pPr>
      <w:r>
        <w:t>Add integration tests proving cross-tenant reads and writes fail.</w:t>
      </w:r>
    </w:p>
    <w:p>
      <w:pPr>
        <w:pStyle w:val="ListBullet"/>
      </w:pPr>
      <w:r>
        <w:t>Consider PostgreSQL Row-Level Security for high-value tenant-owned data if the final deployment architecture supports it.</w:t>
      </w:r>
    </w:p>
    <w:p>
      <w:pPr>
        <w:pStyle w:val="ListBullet"/>
      </w:pPr>
      <w:r>
        <w:t>Never accept tenant_id blindly from request bodies.</w:t>
      </w:r>
    </w:p>
    <w:p>
      <w:pPr>
        <w:pStyle w:val="Heading1"/>
      </w:pPr>
      <w:r>
        <w:t>8. Major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Representative entities</w:t>
            </w:r>
          </w:p>
        </w:tc>
      </w:tr>
      <w:tr>
        <w:tc>
          <w:tcPr>
            <w:tcW w:type="dxa" w:w="4968"/>
            <w:vAlign w:val="top"/>
          </w:tcPr>
          <w:p>
            <w:r>
              <w:t>Identity</w:t>
            </w:r>
          </w:p>
        </w:tc>
        <w:tc>
          <w:tcPr>
            <w:tcW w:type="dxa" w:w="4968"/>
            <w:vAlign w:val="top"/>
          </w:tcPr>
          <w:p>
            <w:r>
              <w:t>Organization, User, Role, Permission, UserRole, Session</w:t>
            </w:r>
          </w:p>
        </w:tc>
      </w:tr>
      <w:tr>
        <w:tc>
          <w:tcPr>
            <w:tcW w:type="dxa" w:w="4968"/>
            <w:vAlign w:val="top"/>
          </w:tcPr>
          <w:p>
            <w:r>
              <w:t>CRM</w:t>
            </w:r>
          </w:p>
        </w:tc>
        <w:tc>
          <w:tcPr>
            <w:tcW w:type="dxa" w:w="4968"/>
            <w:vAlign w:val="top"/>
          </w:tcPr>
          <w:p>
            <w:r>
              <w:t>Customer, Contact, Lead, Opportunity, Activity</w:t>
            </w:r>
          </w:p>
        </w:tc>
      </w:tr>
      <w:tr>
        <w:tc>
          <w:tcPr>
            <w:tcW w:type="dxa" w:w="4968"/>
            <w:vAlign w:val="top"/>
          </w:tcPr>
          <w:p>
            <w:r>
              <w:t>Product</w:t>
            </w:r>
          </w:p>
        </w:tc>
        <w:tc>
          <w:tcPr>
            <w:tcW w:type="dxa" w:w="4968"/>
            <w:vAlign w:val="top"/>
          </w:tcPr>
          <w:p>
            <w:r>
              <w:t>Product, ProductVariant, UnitOfMeasure, ProductCategory</w:t>
            </w:r>
          </w:p>
        </w:tc>
      </w:tr>
      <w:tr>
        <w:tc>
          <w:tcPr>
            <w:tcW w:type="dxa" w:w="4968"/>
            <w:vAlign w:val="top"/>
          </w:tcPr>
          <w:p>
            <w:r>
              <w:t>Supplier</w:t>
            </w:r>
          </w:p>
        </w:tc>
        <w:tc>
          <w:tcPr>
            <w:tcW w:type="dxa" w:w="4968"/>
            <w:vAlign w:val="top"/>
          </w:tcPr>
          <w:p>
            <w:r>
              <w:t>Supplier, SupplierContact, SupplierPrice</w:t>
            </w:r>
          </w:p>
        </w:tc>
      </w:tr>
      <w:tr>
        <w:tc>
          <w:tcPr>
            <w:tcW w:type="dxa" w:w="4968"/>
            <w:vAlign w:val="top"/>
          </w:tcPr>
          <w:p>
            <w:r>
              <w:t>Sales</w:t>
            </w:r>
          </w:p>
        </w:tc>
        <w:tc>
          <w:tcPr>
            <w:tcW w:type="dxa" w:w="4968"/>
            <w:vAlign w:val="top"/>
          </w:tcPr>
          <w:p>
            <w:r>
              <w:t>Quote, QuoteLine, SalesOrder, SalesOrderLine, Delivery, DeliveryLine, CustomerReturn</w:t>
            </w:r>
          </w:p>
        </w:tc>
      </w:tr>
      <w:tr>
        <w:tc>
          <w:tcPr>
            <w:tcW w:type="dxa" w:w="4968"/>
            <w:vAlign w:val="top"/>
          </w:tcPr>
          <w:p>
            <w:r>
              <w:t>Procurement</w:t>
            </w:r>
          </w:p>
        </w:tc>
        <w:tc>
          <w:tcPr>
            <w:tcW w:type="dxa" w:w="4968"/>
            <w:vAlign w:val="top"/>
          </w:tcPr>
          <w:p>
            <w:r>
              <w:t>PurchaseRequisition, RFQ, RFQLine, PurchaseOrder, PurchaseOrderLine, GoodsReceipt</w:t>
            </w:r>
          </w:p>
        </w:tc>
      </w:tr>
      <w:tr>
        <w:tc>
          <w:tcPr>
            <w:tcW w:type="dxa" w:w="4968"/>
            <w:vAlign w:val="top"/>
          </w:tcPr>
          <w:p>
            <w:r>
              <w:t>Inventory</w:t>
            </w:r>
          </w:p>
        </w:tc>
        <w:tc>
          <w:tcPr>
            <w:tcW w:type="dxa" w:w="4968"/>
            <w:vAlign w:val="top"/>
          </w:tcPr>
          <w:p>
            <w:r>
              <w:t>Warehouse, Bin, StockItem, StockLedgerEntry, StockReservation, StockTransfer, Batch, SerialNumber</w:t>
            </w:r>
          </w:p>
        </w:tc>
      </w:tr>
      <w:tr>
        <w:tc>
          <w:tcPr>
            <w:tcW w:type="dxa" w:w="4968"/>
            <w:vAlign w:val="top"/>
          </w:tcPr>
          <w:p>
            <w:r>
              <w:t>Manufacturing</w:t>
            </w:r>
          </w:p>
        </w:tc>
        <w:tc>
          <w:tcPr>
            <w:tcW w:type="dxa" w:w="4968"/>
            <w:vAlign w:val="top"/>
          </w:tcPr>
          <w:p>
            <w:r>
              <w:t>BOM, BOMLine, Routing, RoutingStep, WorkCenter, ProductionOrder, MaterialConsumption, ProductionOutput, Scrap</w:t>
            </w:r>
          </w:p>
        </w:tc>
      </w:tr>
      <w:tr>
        <w:tc>
          <w:tcPr>
            <w:tcW w:type="dxa" w:w="4968"/>
            <w:vAlign w:val="top"/>
          </w:tcPr>
          <w:p>
            <w:r>
              <w:t>Quality</w:t>
            </w:r>
          </w:p>
        </w:tc>
        <w:tc>
          <w:tcPr>
            <w:tcW w:type="dxa" w:w="4968"/>
            <w:vAlign w:val="top"/>
          </w:tcPr>
          <w:p>
            <w:r>
              <w:t>InspectionPlan, Inspection, InspectionResult, Defect, CorrectiveAction</w:t>
            </w:r>
          </w:p>
        </w:tc>
      </w:tr>
      <w:tr>
        <w:tc>
          <w:tcPr>
            <w:tcW w:type="dxa" w:w="4968"/>
            <w:vAlign w:val="top"/>
          </w:tcPr>
          <w:p>
            <w:r>
              <w:t>Finance</w:t>
            </w:r>
          </w:p>
        </w:tc>
        <w:tc>
          <w:tcPr>
            <w:tcW w:type="dxa" w:w="4968"/>
            <w:vAlign w:val="top"/>
          </w:tcPr>
          <w:p>
            <w:r>
              <w:t>Account, Journal, JournalLine, FiscalPeriod, Invoice, InvoiceLine, Payment, PaymentAllocation</w:t>
            </w:r>
          </w:p>
        </w:tc>
      </w:tr>
      <w:tr>
        <w:tc>
          <w:tcPr>
            <w:tcW w:type="dxa" w:w="4968"/>
            <w:vAlign w:val="top"/>
          </w:tcPr>
          <w:p>
            <w:r>
              <w:t>Assets</w:t>
            </w:r>
          </w:p>
        </w:tc>
        <w:tc>
          <w:tcPr>
            <w:tcW w:type="dxa" w:w="4968"/>
            <w:vAlign w:val="top"/>
          </w:tcPr>
          <w:p>
            <w:r>
              <w:t>Asset, AssetCategory, DepreciationEntry, MaintenancePlan, MaintenanceWorkOrder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</w:t>
            </w:r>
          </w:p>
        </w:tc>
        <w:tc>
          <w:tcPr>
            <w:tcW w:type="dxa" w:w="4968"/>
            <w:vAlign w:val="top"/>
          </w:tcPr>
          <w:p>
            <w:r>
              <w:t>WorkflowDefinition, WorkflowStep, ApprovalRule, ApprovalInstance, ApprovalAction</w:t>
            </w:r>
          </w:p>
        </w:tc>
      </w:tr>
      <w:tr>
        <w:tc>
          <w:tcPr>
            <w:tcW w:type="dxa" w:w="4968"/>
            <w:vAlign w:val="top"/>
          </w:tcPr>
          <w:p>
            <w:r>
              <w:t>AI</w:t>
            </w:r>
          </w:p>
        </w:tc>
        <w:tc>
          <w:tcPr>
            <w:tcW w:type="dxa" w:w="4968"/>
            <w:vAlign w:val="top"/>
          </w:tcPr>
          <w:p>
            <w:r>
              <w:t>Conversation, Message, ToolCall, AIActionProposal, AIApproval, Document, DocumentChunk, Forecast, Anomaly</w:t>
            </w:r>
          </w:p>
        </w:tc>
      </w:tr>
    </w:tbl>
    <w:p/>
    <w:p>
      <w:pPr>
        <w:pStyle w:val="Heading1"/>
      </w:pPr>
      <w:r>
        <w:t>9. Transactional Rules</w:t>
      </w:r>
    </w:p>
    <w:p>
      <w:pPr>
        <w:pStyle w:val="ListBullet"/>
      </w:pPr>
      <w:r>
        <w:t>A stock movement and its ledger record must commit atomically.</w:t>
      </w:r>
    </w:p>
    <w:p>
      <w:pPr>
        <w:pStyle w:val="ListBullet"/>
      </w:pPr>
      <w:r>
        <w:t>A completed goods receipt must update the appropriate stock state atomically.</w:t>
      </w:r>
    </w:p>
    <w:p>
      <w:pPr>
        <w:pStyle w:val="ListBullet"/>
      </w:pPr>
      <w:r>
        <w:t>A completed invoice/payment workflow must create corresponding accounting records atomically where the business event requires it.</w:t>
      </w:r>
    </w:p>
    <w:p>
      <w:pPr>
        <w:pStyle w:val="ListBullet"/>
      </w:pPr>
      <w:r>
        <w:t>Double-entry journal posting must be balanced before commit.</w:t>
      </w:r>
    </w:p>
    <w:p>
      <w:pPr>
        <w:pStyle w:val="ListBullet"/>
      </w:pPr>
      <w:r>
        <w:t>Event publication must not create distributed transaction inconsistencies; use the transactional outbox pattern for important domain events.</w:t>
      </w:r>
    </w:p>
    <w:p>
      <w:pPr>
        <w:pStyle w:val="ListBullet"/>
      </w:pPr>
      <w:r>
        <w:t>Consumers must be idempotent.</w:t>
      </w:r>
    </w:p>
    <w:p>
      <w:pPr>
        <w:pStyle w:val="Heading1"/>
      </w:pPr>
      <w:r>
        <w:t>10. Event-Driven Architecture</w:t>
      </w:r>
    </w:p>
    <w:p>
      <w:r>
        <w:t>Use Kafka for meaningful asynchronous domain events rather than for every method call.</w:t>
      </w:r>
    </w:p>
    <w:p>
      <w:pPr>
        <w:pStyle w:val="ListBullet"/>
      </w:pPr>
      <w:r>
        <w:t>SalesOrderConfirmed</w:t>
      </w:r>
    </w:p>
    <w:p>
      <w:pPr>
        <w:pStyle w:val="ListBullet"/>
      </w:pPr>
      <w:r>
        <w:t>PurchaseOrderApproved</w:t>
      </w:r>
    </w:p>
    <w:p>
      <w:pPr>
        <w:pStyle w:val="ListBullet"/>
      </w:pPr>
      <w:r>
        <w:t>GoodsReceiptCompleted</w:t>
      </w:r>
    </w:p>
    <w:p>
      <w:pPr>
        <w:pStyle w:val="ListBullet"/>
      </w:pPr>
      <w:r>
        <w:t>InventoryAdjusted</w:t>
      </w:r>
    </w:p>
    <w:p>
      <w:pPr>
        <w:pStyle w:val="ListBullet"/>
      </w:pPr>
      <w:r>
        <w:t>ProductionOrderReleased</w:t>
      </w:r>
    </w:p>
    <w:p>
      <w:pPr>
        <w:pStyle w:val="ListBullet"/>
      </w:pPr>
      <w:r>
        <w:t>ProductionCompleted</w:t>
      </w:r>
    </w:p>
    <w:p>
      <w:pPr>
        <w:pStyle w:val="ListBullet"/>
      </w:pPr>
      <w:r>
        <w:t>QualityInspectionFailed</w:t>
      </w:r>
    </w:p>
    <w:p>
      <w:pPr>
        <w:pStyle w:val="ListBullet"/>
      </w:pPr>
      <w:r>
        <w:t>InvoicePosted</w:t>
      </w:r>
    </w:p>
    <w:p>
      <w:pPr>
        <w:pStyle w:val="ListBullet"/>
      </w:pPr>
      <w:r>
        <w:t>PaymentReceived</w:t>
      </w:r>
    </w:p>
    <w:p>
      <w:pPr>
        <w:pStyle w:val="ListBullet"/>
      </w:pPr>
      <w:r>
        <w:t>AIActionApproved</w:t>
      </w:r>
    </w:p>
    <w:p>
      <w:r>
        <w:t>Use an outbox table and reliable publisher for important transactional events. Include event ID, event type, aggregate ID, tenant ID, timestamp, schema version and payload metadata.</w:t>
      </w:r>
    </w:p>
    <w:p>
      <w:pPr>
        <w:pStyle w:val="Heading1"/>
      </w:pPr>
      <w:r>
        <w:t>11. Redis Requirements</w:t>
      </w:r>
    </w:p>
    <w:p>
      <w:pPr>
        <w:pStyle w:val="ListBullet"/>
      </w:pPr>
      <w:r>
        <w:t>Cache read-heavy reference data where measured useful.</w:t>
      </w:r>
    </w:p>
    <w:p>
      <w:pPr>
        <w:pStyle w:val="ListBullet"/>
      </w:pPr>
      <w:r>
        <w:t>Use for short-lived locks or idempotency keys only with carefully defined semantics.</w:t>
      </w:r>
    </w:p>
    <w:p>
      <w:pPr>
        <w:pStyle w:val="ListBullet"/>
      </w:pPr>
      <w:r>
        <w:t>Use for rate limiting/session-related ephemeral state where appropriate.</w:t>
      </w:r>
    </w:p>
    <w:p>
      <w:pPr>
        <w:pStyle w:val="ListBullet"/>
      </w:pPr>
      <w:r>
        <w:t>Never treat Redis as the authoritative ERP database.</w:t>
      </w:r>
    </w:p>
    <w:p>
      <w:pPr>
        <w:pStyle w:val="ListBullet"/>
      </w:pPr>
      <w:r>
        <w:t>Apply TTLs intentionally and document cache invalidation behavior.</w:t>
      </w:r>
    </w:p>
    <w:p>
      <w:pPr>
        <w:pStyle w:val="Heading1"/>
      </w:pPr>
      <w:r>
        <w:t>12. AI Backend Architecture</w:t>
      </w:r>
    </w:p>
    <w:p>
      <w:pPr>
        <w:ind w:left="360"/>
      </w:pPr>
      <w:r>
        <w:rPr>
          <w:rFonts w:ascii="Consolas" w:hAnsi="Consolas"/>
          <w:sz w:val="18"/>
        </w:rPr>
        <w:t>Spring Boot</w:t>
        <w:br/>
        <w:t xml:space="preserve">   |</w:t>
        <w:br/>
        <w:t xml:space="preserve">   +-- AI orchestration / authorization boundary</w:t>
        <w:br/>
        <w:t xml:space="preserve">   |</w:t>
        <w:br/>
        <w:t xml:space="preserve">   +-- ERP tool registry</w:t>
        <w:br/>
        <w:t xml:space="preserve">   |</w:t>
        <w:br/>
        <w:t xml:space="preserve">   +-- RAG retrieval</w:t>
        <w:br/>
        <w:t xml:space="preserve">   |</w:t>
        <w:br/>
        <w:t xml:space="preserve">   +-- LLM provider adapter</w:t>
        <w:br/>
        <w:t xml:space="preserve">   |</w:t>
        <w:br/>
        <w:t xml:space="preserve">   +-- AI audit/event layer</w:t>
        <w:br/>
        <w:t xml:space="preserve">   |</w:t>
        <w:br/>
        <w:t xml:space="preserve">   +-- Python FastAPI ML service</w:t>
        <w:br/>
        <w:t xml:space="preserve">            |</w:t>
        <w:br/>
        <w:t xml:space="preserve">            +-- forecasting</w:t>
        <w:br/>
        <w:t xml:space="preserve">            +-- anomaly detection</w:t>
        <w:br/>
        <w:t xml:space="preserve">            +-- model inference</w:t>
        <w:br/>
      </w:r>
    </w:p>
    <w:p>
      <w:pPr>
        <w:pStyle w:val="ListBullet"/>
      </w:pPr>
      <w:r>
        <w:t>Implement a provider abstraction so OpenAI and Gemini can be configured without rewriting ERP business logic.</w:t>
      </w:r>
    </w:p>
    <w:p>
      <w:pPr>
        <w:pStyle w:val="ListBullet"/>
      </w:pPr>
      <w:r>
        <w:t>Treat LLM output as untrusted input.</w:t>
      </w:r>
    </w:p>
    <w:p>
      <w:pPr>
        <w:pStyle w:val="ListBullet"/>
      </w:pPr>
      <w:r>
        <w:t>Validate structured tool-call arguments against schemas before execution.</w:t>
      </w:r>
    </w:p>
    <w:p>
      <w:pPr>
        <w:pStyle w:val="ListBullet"/>
      </w:pPr>
      <w:r>
        <w:t>Apply user/role/tenant authorization to every tool.</w:t>
      </w:r>
    </w:p>
    <w:p>
      <w:pPr>
        <w:pStyle w:val="ListBullet"/>
      </w:pPr>
      <w:r>
        <w:t>Separate read tools from write tools.</w:t>
      </w:r>
    </w:p>
    <w:p>
      <w:pPr>
        <w:pStyle w:val="ListBullet"/>
      </w:pPr>
      <w:r>
        <w:t>Require confirmation/approval for configured high-impact writes.</w:t>
      </w:r>
    </w:p>
    <w:p>
      <w:pPr>
        <w:pStyle w:val="ListBullet"/>
      </w:pPr>
      <w:r>
        <w:t>Persist AI action proposals and outcomes for auditability.</w:t>
      </w:r>
    </w:p>
    <w:p>
      <w:pPr>
        <w:pStyle w:val="ListBullet"/>
      </w:pPr>
      <w:r>
        <w:t>Use RAG with PostgreSQL/pgvector initially; migrate to a dedicated vector system only if scale or capability requires it.</w:t>
      </w:r>
    </w:p>
    <w:p>
      <w:pPr>
        <w:pStyle w:val="ListBullet"/>
      </w:pPr>
      <w:r>
        <w:t>Keep ML inference in Python/FastAPI so model development remains idiomatic Python.</w:t>
      </w:r>
    </w:p>
    <w:p>
      <w:pPr>
        <w:pStyle w:val="Heading1"/>
      </w:pPr>
      <w:r>
        <w:t>13. AI Tool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Tool category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Default policy</w:t>
            </w:r>
          </w:p>
        </w:tc>
      </w:tr>
      <w:tr>
        <w:tc>
          <w:tcPr>
            <w:tcW w:type="dxa" w:w="3312"/>
            <w:vAlign w:val="top"/>
          </w:tcPr>
          <w:p>
            <w:r>
              <w:t>Read</w:t>
            </w:r>
          </w:p>
        </w:tc>
        <w:tc>
          <w:tcPr>
            <w:tcW w:type="dxa" w:w="3312"/>
            <w:vAlign w:val="top"/>
          </w:tcPr>
          <w:p>
            <w:r>
              <w:t>get_inventory, get_sales, get_supplier, get_invoice, get_financial_summary</w:t>
            </w:r>
          </w:p>
        </w:tc>
        <w:tc>
          <w:tcPr>
            <w:tcW w:type="dxa" w:w="3312"/>
            <w:vAlign w:val="top"/>
          </w:tcPr>
          <w:p>
            <w:r>
              <w:t>Allowed only within user authorization and tenant scope</w:t>
            </w:r>
          </w:p>
        </w:tc>
      </w:tr>
      <w:tr>
        <w:tc>
          <w:tcPr>
            <w:tcW w:type="dxa" w:w="3312"/>
            <w:vAlign w:val="top"/>
          </w:tcPr>
          <w:p>
            <w:r>
              <w:t>Analysis</w:t>
            </w:r>
          </w:p>
        </w:tc>
        <w:tc>
          <w:tcPr>
            <w:tcW w:type="dxa" w:w="3312"/>
            <w:vAlign w:val="top"/>
          </w:tcPr>
          <w:p>
            <w:r>
              <w:t>forecast_demand, detect_anomalies, calculate_reorder_point</w:t>
            </w:r>
          </w:p>
        </w:tc>
        <w:tc>
          <w:tcPr>
            <w:tcW w:type="dxa" w:w="3312"/>
            <w:vAlign w:val="top"/>
          </w:tcPr>
          <w:p>
            <w:r>
              <w:t>Read-only; results marked as model-derived</w:t>
            </w:r>
          </w:p>
        </w:tc>
      </w:tr>
      <w:tr>
        <w:tc>
          <w:tcPr>
            <w:tcW w:type="dxa" w:w="3312"/>
            <w:vAlign w:val="top"/>
          </w:tcPr>
          <w:p>
            <w:r>
              <w:t>Proposal</w:t>
            </w:r>
          </w:p>
        </w:tc>
        <w:tc>
          <w:tcPr>
            <w:tcW w:type="dxa" w:w="3312"/>
            <w:vAlign w:val="top"/>
          </w:tcPr>
          <w:p>
            <w:r>
              <w:t>propose_purchase_order, propose_inventory_transfer</w:t>
            </w:r>
          </w:p>
        </w:tc>
        <w:tc>
          <w:tcPr>
            <w:tcW w:type="dxa" w:w="3312"/>
            <w:vAlign w:val="top"/>
          </w:tcPr>
          <w:p>
            <w:r>
              <w:t>Creates proposal, not final mutation</w:t>
            </w:r>
          </w:p>
        </w:tc>
      </w:tr>
      <w:tr>
        <w:tc>
          <w:tcPr>
            <w:tcW w:type="dxa" w:w="3312"/>
            <w:vAlign w:val="top"/>
          </w:tcPr>
          <w:p>
            <w:r>
              <w:t>Write</w:t>
            </w:r>
          </w:p>
        </w:tc>
        <w:tc>
          <w:tcPr>
            <w:tcW w:type="dxa" w:w="3312"/>
            <w:vAlign w:val="top"/>
          </w:tcPr>
          <w:p>
            <w:r>
              <w:t>create_purchase_order, transfer_inventory, issue_refund</w:t>
            </w:r>
          </w:p>
        </w:tc>
        <w:tc>
          <w:tcPr>
            <w:tcW w:type="dxa" w:w="3312"/>
            <w:vAlign w:val="top"/>
          </w:tcPr>
          <w:p>
            <w:r>
              <w:t>Explicit authorization; high-impact actions require approval</w:t>
            </w:r>
          </w:p>
        </w:tc>
      </w:tr>
      <w:tr>
        <w:tc>
          <w:tcPr>
            <w:tcW w:type="dxa" w:w="3312"/>
            <w:vAlign w:val="top"/>
          </w:tcPr>
          <w:p>
            <w:r>
              <w:t>Administrative</w:t>
            </w:r>
          </w:p>
        </w:tc>
        <w:tc>
          <w:tcPr>
            <w:tcW w:type="dxa" w:w="3312"/>
            <w:vAlign w:val="top"/>
          </w:tcPr>
          <w:p>
            <w:r>
              <w:t>change_role, close_period, alter_financial configuration</w:t>
            </w:r>
          </w:p>
        </w:tc>
        <w:tc>
          <w:tcPr>
            <w:tcW w:type="dxa" w:w="3312"/>
            <w:vAlign w:val="top"/>
          </w:tcPr>
          <w:p>
            <w:r>
              <w:t>Never autonomous by default; require privileged human action</w:t>
            </w:r>
          </w:p>
        </w:tc>
      </w:tr>
    </w:tbl>
    <w:p/>
    <w:p>
      <w:pPr>
        <w:pStyle w:val="Heading1"/>
      </w:pPr>
      <w:r>
        <w:t>14. ML Service Requirements</w:t>
      </w:r>
    </w:p>
    <w:p>
      <w:pPr>
        <w:pStyle w:val="ListBullet"/>
      </w:pPr>
      <w:r>
        <w:t>Python + FastAPI current stable release.</w:t>
      </w:r>
    </w:p>
    <w:p>
      <w:pPr>
        <w:pStyle w:val="ListBullet"/>
      </w:pPr>
      <w:r>
        <w:t>Use scikit-learn, XGBoost, LightGBM or another appropriate stable library based on the problem.</w:t>
      </w:r>
    </w:p>
    <w:p>
      <w:pPr>
        <w:pStyle w:val="ListBullet"/>
      </w:pPr>
      <w:r>
        <w:t>Build demand forecasting using historical sales and operational features.</w:t>
      </w:r>
    </w:p>
    <w:p>
      <w:pPr>
        <w:pStyle w:val="ListBullet"/>
      </w:pPr>
      <w:r>
        <w:t>Build anomaly detection for procurement, inventory and expense patterns.</w:t>
      </w:r>
    </w:p>
    <w:p>
      <w:pPr>
        <w:pStyle w:val="ListBullet"/>
      </w:pPr>
      <w:r>
        <w:t>Version model artifacts and record training metadata.</w:t>
      </w:r>
    </w:p>
    <w:p>
      <w:pPr>
        <w:pStyle w:val="ListBullet"/>
      </w:pPr>
      <w:r>
        <w:t>Expose typed inference endpoints.</w:t>
      </w:r>
    </w:p>
    <w:p>
      <w:pPr>
        <w:pStyle w:val="ListBullet"/>
      </w:pPr>
      <w:r>
        <w:t>Validate input schema and model feature compatibility.</w:t>
      </w:r>
    </w:p>
    <w:p>
      <w:pPr>
        <w:pStyle w:val="ListBullet"/>
      </w:pPr>
      <w:r>
        <w:t>Return model version, prediction, confidence/uncertainty indicators where meaningful, and timestamp.</w:t>
      </w:r>
    </w:p>
    <w:p>
      <w:pPr>
        <w:pStyle w:val="ListBullet"/>
      </w:pPr>
      <w:r>
        <w:t>Do not present predictions as guaranteed outcomes.</w:t>
      </w:r>
    </w:p>
    <w:p>
      <w:pPr>
        <w:pStyle w:val="Heading1"/>
      </w:pPr>
      <w:r>
        <w:t>15. RAG Requirements</w:t>
      </w:r>
    </w:p>
    <w:p>
      <w:pPr>
        <w:pStyle w:val="ListBullet"/>
      </w:pPr>
      <w:r>
        <w:t>Document ingestion must be tenant-scoped.</w:t>
      </w:r>
    </w:p>
    <w:p>
      <w:pPr>
        <w:pStyle w:val="ListBullet"/>
      </w:pPr>
      <w:r>
        <w:t>Extract text, normalize it, chunk it, embed it, and store chunk metadata plus vector.</w:t>
      </w:r>
    </w:p>
    <w:p>
      <w:pPr>
        <w:pStyle w:val="ListBullet"/>
      </w:pPr>
      <w:r>
        <w:t>Store source document ID, page/section metadata and content hash.</w:t>
      </w:r>
    </w:p>
    <w:p>
      <w:pPr>
        <w:pStyle w:val="ListBullet"/>
      </w:pPr>
      <w:r>
        <w:t>Retrieve top relevant chunks using similarity search and optional metadata filters.</w:t>
      </w:r>
    </w:p>
    <w:p>
      <w:pPr>
        <w:pStyle w:val="ListBullet"/>
      </w:pPr>
      <w:r>
        <w:t>Return citations in AI responses.</w:t>
      </w:r>
    </w:p>
    <w:p>
      <w:pPr>
        <w:pStyle w:val="ListBullet"/>
      </w:pPr>
      <w:r>
        <w:t>Prevent cross-tenant retrieval.</w:t>
      </w:r>
    </w:p>
    <w:p>
      <w:pPr>
        <w:pStyle w:val="ListBullet"/>
      </w:pPr>
      <w:r>
        <w:t>Allow document replacement/re-indexing without creating uncontrolled duplicate chunks.</w:t>
      </w:r>
    </w:p>
    <w:p>
      <w:pPr>
        <w:pStyle w:val="Heading1"/>
      </w:pPr>
      <w:r>
        <w:t>16. Database Migration Strategy</w:t>
      </w:r>
    </w:p>
    <w:p>
      <w:pPr>
        <w:pStyle w:val="ListNumber"/>
      </w:pPr>
      <w:r>
        <w:t>Every schema change gets a migration.</w:t>
      </w:r>
    </w:p>
    <w:p>
      <w:pPr>
        <w:pStyle w:val="ListNumber"/>
      </w:pPr>
      <w:r>
        <w:t>Never rely on Hibernate auto-DDL in production.</w:t>
      </w:r>
    </w:p>
    <w:p>
      <w:pPr>
        <w:pStyle w:val="ListNumber"/>
      </w:pPr>
      <w:r>
        <w:t>Use forward-compatible changes for deployments that may overlap.</w:t>
      </w:r>
    </w:p>
    <w:p>
      <w:pPr>
        <w:pStyle w:val="ListNumber"/>
      </w:pPr>
      <w:r>
        <w:t>Backfill data explicitly and safely.</w:t>
      </w:r>
    </w:p>
    <w:p>
      <w:pPr>
        <w:pStyle w:val="ListNumber"/>
      </w:pPr>
      <w:r>
        <w:t>Add indexes concurrently or through safe operational procedures where production scale requires it.</w:t>
      </w:r>
    </w:p>
    <w:p>
      <w:pPr>
        <w:pStyle w:val="ListNumber"/>
      </w:pPr>
      <w:r>
        <w:t>Test migrations against a clean database and an upgraded database.</w:t>
      </w:r>
    </w:p>
    <w:p>
      <w:pPr>
        <w:pStyle w:val="Heading1"/>
      </w:pPr>
      <w:r>
        <w:t>17. Testing Requirements</w:t>
      </w:r>
    </w:p>
    <w:p>
      <w:pPr>
        <w:pStyle w:val="ListBullet"/>
      </w:pPr>
      <w:r>
        <w:t>Unit tests for domain calculations and business rules.</w:t>
      </w:r>
    </w:p>
    <w:p>
      <w:pPr>
        <w:pStyle w:val="ListBullet"/>
      </w:pPr>
      <w:r>
        <w:t>Repository/integration tests against real PostgreSQL via Testcontainers.</w:t>
      </w:r>
    </w:p>
    <w:p>
      <w:pPr>
        <w:pStyle w:val="ListBullet"/>
      </w:pPr>
      <w:r>
        <w:t>Security tests for authorization and tenant isolation.</w:t>
      </w:r>
    </w:p>
    <w:p>
      <w:pPr>
        <w:pStyle w:val="ListBullet"/>
      </w:pPr>
      <w:r>
        <w:t>API tests for validation, pagination, error contracts and idempotency.</w:t>
      </w:r>
    </w:p>
    <w:p>
      <w:pPr>
        <w:pStyle w:val="ListBullet"/>
      </w:pPr>
      <w:r>
        <w:t>Event tests for publication and consumer idempotency.</w:t>
      </w:r>
    </w:p>
    <w:p>
      <w:pPr>
        <w:pStyle w:val="ListBullet"/>
      </w:pPr>
      <w:r>
        <w:t>Financial tests for balanced journal entries.</w:t>
      </w:r>
    </w:p>
    <w:p>
      <w:pPr>
        <w:pStyle w:val="ListBullet"/>
      </w:pPr>
      <w:r>
        <w:t>Inventory tests for concurrency-sensitive stock operations.</w:t>
      </w:r>
    </w:p>
    <w:p>
      <w:pPr>
        <w:pStyle w:val="ListBullet"/>
      </w:pPr>
      <w:r>
        <w:t>AI tool authorization tests.</w:t>
      </w:r>
    </w:p>
    <w:p>
      <w:pPr>
        <w:pStyle w:val="ListBullet"/>
      </w:pPr>
      <w:r>
        <w:t>ML API contract and model inference tests.</w:t>
      </w:r>
    </w:p>
    <w:p>
      <w:pPr>
        <w:pStyle w:val="Heading1"/>
      </w:pPr>
      <w:r>
        <w:t>18. Observability</w:t>
      </w:r>
    </w:p>
    <w:p>
      <w:pPr>
        <w:pStyle w:val="ListBullet"/>
      </w:pPr>
      <w:r>
        <w:t>Use correlation/request IDs across HTTP, database operations and Kafka events.</w:t>
      </w:r>
    </w:p>
    <w:p>
      <w:pPr>
        <w:pStyle w:val="ListBullet"/>
      </w:pPr>
      <w:r>
        <w:t>Emit structured JSON logs.</w:t>
      </w:r>
    </w:p>
    <w:p>
      <w:pPr>
        <w:pStyle w:val="ListBullet"/>
      </w:pPr>
      <w:r>
        <w:t>Expose application metrics.</w:t>
      </w:r>
    </w:p>
    <w:p>
      <w:pPr>
        <w:pStyle w:val="ListBullet"/>
      </w:pPr>
      <w:r>
        <w:t>Trace important cross-component workflows with OpenTelemetry.</w:t>
      </w:r>
    </w:p>
    <w:p>
      <w:pPr>
        <w:pStyle w:val="ListBullet"/>
      </w:pPr>
      <w:r>
        <w:t>Track Kafka consumer lag and failed messages.</w:t>
      </w:r>
    </w:p>
    <w:p>
      <w:pPr>
        <w:pStyle w:val="ListBullet"/>
      </w:pPr>
      <w:r>
        <w:t>Track AI latency, token/cost metadata where provider APIs permit, tool failures, approval outcomes and model versions without logging sensitive prompts or data unnecessarily.</w:t>
      </w:r>
    </w:p>
    <w:p>
      <w:pPr>
        <w:pStyle w:val="Heading1"/>
      </w:pPr>
      <w:r>
        <w:t>AI Agent Operating Instructions</w:t>
      </w:r>
    </w:p>
    <w:p>
      <w:pPr>
        <w:pStyle w:val="ListNumber"/>
      </w:pPr>
      <w:r>
        <w:t>Act as a senior staff-level engineer. Do not blindly generate code; first inspect the repository, current dependency versions, architecture, existing conventions, and tests.</w:t>
      </w:r>
    </w:p>
    <w:p>
      <w:pPr>
        <w:pStyle w:val="ListNumber"/>
      </w:pPr>
      <w:r>
        <w:t>Before adding or upgrading any dependency, verify the latest stable production release from the official project documentation or package registry. Never select a beta, release candidate, nightly, deprecated, or end-of-life version unless the specification explicitly requires it.</w:t>
      </w:r>
    </w:p>
    <w:p>
      <w:pPr>
        <w:pStyle w:val="ListNumber"/>
      </w:pPr>
      <w:r>
        <w:t>Prefer stable, well-supported modules and official integrations. Do not introduce a library merely because it is popular if the platform already provides the required capability.</w:t>
      </w:r>
    </w:p>
    <w:p>
      <w:pPr>
        <w:pStyle w:val="ListNumber"/>
      </w:pPr>
      <w:r>
        <w:t>Preserve existing working behavior. Make incremental, reviewable changes and avoid unrelated refactors.</w:t>
      </w:r>
    </w:p>
    <w:p>
      <w:pPr>
        <w:pStyle w:val="ListNumber"/>
      </w:pPr>
      <w:r>
        <w:t>Before implementing a major feature, write a short implementation plan, identify affected modules, data changes, API changes, security implications, and tests.</w:t>
      </w:r>
    </w:p>
    <w:p>
      <w:pPr>
        <w:pStyle w:val="ListNumber"/>
      </w:pPr>
      <w:r>
        <w:t>Use strong typing, validation, explicit error handling, structured logging, and clear domain boundaries.</w:t>
      </w:r>
    </w:p>
    <w:p>
      <w:pPr>
        <w:pStyle w:val="ListNumber"/>
      </w:pPr>
      <w:r>
        <w:t>Never place secrets, API keys, credentials, tokens, or private customer data in source code, commits, logs, screenshots, fixtures, or generated documentation.</w:t>
      </w:r>
    </w:p>
    <w:p>
      <w:pPr>
        <w:pStyle w:val="ListNumber"/>
      </w:pPr>
      <w:r>
        <w:t>Do not invent APIs, framework features, configuration keys, database columns, or package names. Verify them against current official documentation.</w:t>
      </w:r>
    </w:p>
    <w:p>
      <w:pPr>
        <w:pStyle w:val="ListNumber"/>
      </w:pPr>
      <w:r>
        <w:t>Do not silently change the architecture. If a requested implementation conflicts with the architecture, explain the conflict and choose the least disruptive compatible approach.</w:t>
      </w:r>
    </w:p>
    <w:p>
      <w:pPr>
        <w:pStyle w:val="ListNumber"/>
      </w:pPr>
      <w:r>
        <w:t>After each meaningful implementation unit, run formatting, static analysis, unit tests, integration tests relevant to the change, and build checks. Fix failures before continuing.</w:t>
      </w:r>
    </w:p>
    <w:p>
      <w:pPr>
        <w:pStyle w:val="ListNumber"/>
      </w:pPr>
      <w:r>
        <w:t>For database changes, use migrations. Never modify production schema manually or rely on auto-generated destructive schema updates.</w:t>
      </w:r>
    </w:p>
    <w:p>
      <w:pPr>
        <w:pStyle w:val="ListNumber"/>
      </w:pPr>
      <w:r>
        <w:t>For security-sensitive operations, default to deny. Enforce authorization on the backend; frontend checks are only for UX.</w:t>
      </w:r>
    </w:p>
    <w:p>
      <w:pPr>
        <w:pStyle w:val="ListNumber"/>
      </w:pPr>
      <w:r>
        <w:t>For AI-generated actions that can mutate ERP state, require explicit permission checks and configurable human approval for high-impact operations.</w:t>
      </w:r>
    </w:p>
    <w:p>
      <w:pPr>
        <w:pStyle w:val="ListNumber"/>
      </w:pPr>
      <w:r>
        <w:t>Document important architectural decisions and trade-offs in ADRs or equivalent project documentation.</w:t>
      </w:r>
    </w:p>
    <w:p>
      <w:pPr>
        <w:pStyle w:val="ListNumber"/>
      </w:pPr>
      <w:r>
        <w:t>Keep the project portfolio-quality: readable code, coherent naming, tests, documentation, observability, reproducible local setup, and production-minded defaults.</w:t>
      </w:r>
    </w:p>
    <w:p>
      <w:pPr>
        <w:pStyle w:val="Heading1"/>
      </w:pPr>
      <w:r>
        <w:t>19. Backend Agent Implementation Sequence</w:t>
      </w:r>
    </w:p>
    <w:p>
      <w:pPr>
        <w:pStyle w:val="ListNumber"/>
      </w:pPr>
      <w:r>
        <w:t>Inspect repository and verify all current stable framework versions from official sources.</w:t>
      </w:r>
    </w:p>
    <w:p>
      <w:pPr>
        <w:pStyle w:val="ListNumber"/>
      </w:pPr>
      <w:r>
        <w:t>Initialize the Spring Boot project with only required modules.</w:t>
      </w:r>
    </w:p>
    <w:p>
      <w:pPr>
        <w:pStyle w:val="ListNumber"/>
      </w:pPr>
      <w:r>
        <w:t>Create tenant/identity/security foundation.</w:t>
      </w:r>
    </w:p>
    <w:p>
      <w:pPr>
        <w:pStyle w:val="ListNumber"/>
      </w:pPr>
      <w:r>
        <w:t>Create migration system and baseline schema.</w:t>
      </w:r>
    </w:p>
    <w:p>
      <w:pPr>
        <w:pStyle w:val="ListNumber"/>
      </w:pPr>
      <w:r>
        <w:t>Implement one vertical domain slice end-to-end.</w:t>
      </w:r>
    </w:p>
    <w:p>
      <w:pPr>
        <w:pStyle w:val="ListNumber"/>
      </w:pPr>
      <w:r>
        <w:t>Establish API error contract, validation, audit logging and testing conventions.</w:t>
      </w:r>
    </w:p>
    <w:p>
      <w:pPr>
        <w:pStyle w:val="ListNumber"/>
      </w:pPr>
      <w:r>
        <w:t>Add remaining domains incrementally.</w:t>
      </w:r>
    </w:p>
    <w:p>
      <w:pPr>
        <w:pStyle w:val="ListNumber"/>
      </w:pPr>
      <w:r>
        <w:t>Introduce Kafka and transactional outbox only after transactional domain flows are stable.</w:t>
      </w:r>
    </w:p>
    <w:p>
      <w:pPr>
        <w:pStyle w:val="ListNumber"/>
      </w:pPr>
      <w:r>
        <w:t>Introduce Redis only where a concrete caching/rate-limiting/ephemeral-state use case exists.</w:t>
      </w:r>
    </w:p>
    <w:p>
      <w:pPr>
        <w:pStyle w:val="ListNumber"/>
      </w:pPr>
      <w:r>
        <w:t>Introduce AI tool infrastructure after core authorization is mature.</w:t>
      </w:r>
    </w:p>
    <w:p>
      <w:pPr>
        <w:pStyle w:val="ListNumber"/>
      </w:pPr>
      <w:r>
        <w:t>Add RAG and ML services after the ERP data model provides meaningful historical data.</w:t>
      </w:r>
    </w:p>
    <w:p>
      <w:pPr>
        <w:pStyle w:val="ListNumber"/>
      </w:pPr>
      <w:r>
        <w:t>Harden observability, performance, security and deployment before declaring production readiness.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