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Accordingly, we incorporated two widely recognized topics - corporate governance information and risk management - under the governance dimension, as specified in the Guidelines. Building on these concepts, the ESG factor library of Xingzheng Financial Engineering is structured into three dimensions: environmental, social, and governance information related to sustainable development, encompassing 11 key topics and a total of 38 key indicators. The library's comprehensive coverage extends to 500 underlying indicators. Moreover, specialized indicators are provided, including metrics such as green revenue and penalty impact level, to offer additional insights.</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publicly listed companies prioritize the disclosure of sustainability information, with a notable focus on pollution prevention, ecosystem protection, employee-related issues, and corporate governance. Furthermore, the coverage of ESG factors demonstrates industry heterogeneity. Specifically, the banking and non-bank financial sectors excel in ESG disclosure, particularly in areas such as social contributions, supplier and customer relationships, employee practices, and governance mechanisms linked to sustainable development.</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correlation analysis reveals a pronounced positive link between ESG factors and large-cap, mid-cap, value, and leverage Barra factors. Our findings suggest that companies with larger market capitalization, more attractive valuations, and lower leverage ratios tend to perform better in ESG metrics. Notably, ESG scores operate as a medium- to long-term indicator, resulting in a relatively weak correlation with short-term, technical indicators such as momentum, growth, liquidity, and Beta factors. From a specific perspective, ESG factors can provide incremental information from a long-term perspective.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clear positive correlation between environmental, social, and governance (ESG) factors and fundamental performance indicators, indicating a strong association between ESG investment and long-term value investment. This correlation suggests that companies exhibiting good ESG performance tend to possess stronger financials and profitability, enabling them to sustain stable dividend payments. Furthermore, they demonstrate greater efficiency in resource allocation and cost management, generating stronger cash flows and, subsequently, stock prices that reflect higher expected returns, thereby attracting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Our analysis reveals that the environmental, social, and governance (ESG) dimensions of a company's operations have a significant impact on its stock selection effectiveness. In particular, the environmental dimension, which encompasses climate change mitigation, pollutant prevention and control, and ecosystem protection, demonstrates strong stock selection effectiveness in multiple broad-based index sample pools, with average IC scores above 0.02. Meanwhile, the social dimension, characterized by innovation-driven and technological ethics, also exhibits robust stock selection effectiveness in these sample pools. Notably, the governance dimension focuses on the stock selection effectiveness of corporate governance metrics. Furthermore, our constructed ESG factors have excellent stock selection effectiveness in the CSI 800 stock sample, with a strong positive correlation between the factor score and subsequent individual stock returns on multiple issues.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Based on the Sustainability Accounting Standards Board (SASB) standards and exchange disclosure guidelines, this article develops a comprehensive ESG scoring system tailored to the Shenwan Secondary Industry Dimension. Using the non-ferrous metals industry as a case study, we analyzed the effectiveness of the substance-specific indicators under the Shenwan Secondary Industry Classification, finding that the sustainability metrics related to industry operations are more impactful for stock selection. Specifically, indicators such as greenhouse gas emissions, energy efficiency, and water resources management, as well as social relations and labor management, are most relevant and effective.</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dynamic market and corporate behavior, the factor library model must be continuously refined and updated to maintain its relevance and effectiveness across varying market conditions and periods. Moreover, with the increasing standardization and mandatory disclosure of environmental, social, and governance (ESG) information by more companies, the factor library's data coverage and accuracy will likely improve, thereby enhancing investors' ability to conduct in-depth analysis and make informed decisions in the ESG arena.</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