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Guided by the established guidelines, we supplemented the framework with two additional topics: corporate governance and risk management, both subsumed under the governance dimension. Building upon these ideas, Xingzheng Financial Engineering's ESG factor library will comprise three dimensions: environmental, social, and governance-related information focused on sustainable development. The library will encompass 11 key topics and 38 corresponding indicators. Notably, the entire ESG factor library covers 500 underlying indicators. Furthermore, we have included specialized indicators, such as green revenue and penalty impact level, to provide more nuanced insights.</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listed companies prioritize the disclosure of sustainable information, with a greater emphasis on ESG factor coverage and industry distribution. The reporting of pollution prevention and control, ecosystem protection, employee-related issues, business behavior, and corporate governance information is notably comprehensive. Notably, ESG information disclosure exhibits industry heterogeneity, with distinct patterns emerging across sectors. Notably, the banking and non-bank financial industries stand out in multiple ESG disclosure areas, particularly in social contributions, supplier and customer relationships, employee welfare, and sustainable development-oriented governance mechanisms.</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correlation analysis between environmental, social, and governance (ESG) factors and Barra factors reveals a more pronounced positive correlation with large-cap, mid-cap, value, and leverage factors. Companies with larger market capitalization, attractive valuations, and lower leverage ratios tend to exhibit superior ESG performance. Notwithstanding, the correlation with short-term, technical indicators, such as momentum, growth, liquidity, and Beta factors, is relatively weak due to ESG's nature as a medium- to long-term indicator. From a specific perspective, ESG factors can provide incremental information that is valuable from a long-term perspective.</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clear positive correlation between environmental, social, and governance (ESG) factors and fundamental performance indicators. This association underscores the inherent compatibility between ESG investment and long-term value investment. Specifically, companies with strong ESG performance tend to exhibit favorable financial conditions and profitability, enabling them to deliver consistent dividend payments. Furthermore, they demonstrate superior resource management and cost control, generating stronger cash flows and resulting in stock prices that reflect higher expected returns, thereby attracting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Our findings suggest that the environmental, social, and governance (ESG) dimensions of addressing climate change, preventing pollutants, and protecting ecosystems have a significant impact on stock selection effectiveness in multiple broad-based index sample pools, with average excess returns above 0.02%. The governance dimension focuses on the efficacy of corporate governance information in informing stock selection. Furthermore, our constructed ESG factors for the issue dimension demonstrate excellent stock selection effectiveness in a sample of 800 CSI stocks, exhibiting a strong positive correlation with individual stock returns in subsequent periods across multiple issues.</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Building upon the Sustainability Accounting Standards Board (SASB) standards and exchange guidelines, this article develops a comprehensive ESG scoring system aligned with the Shenwan Secondary Industry Dimension. Utilizing the non-ferrous metals industry as a case study, we analyzed and calculated the effectiveness of the industrial classification's substantive topic indicators, with a particular focus on operational sustainability metrics such as greenhouse gas emissions, energy efficiency, and water resources management, as well as social responsibility indicators like labor relations and social interactions.</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Amidst the dynamic shifts in market conditions and corporate behavior, the factor library model necessitates ongoing optimization and refinement to guarantee its relevance and efficacy across various time periods and market environments. As more companies adopt standardization and mandatory disclosure of ESG information in the future, the library's data coverage and accuracy will likely improve, subsequently bolstering investors' capacity for in-depth analysis and informed decision-making within the ESG context.</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