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Guided by the Guidelines, we incorporated two ubiquitous topics: corporate governance and risk management, within the governance dimension. Building upon these concepts, the ESG factor library of Xingzheng Financial Engineering will be structured into three interlocking dimensions: environmental, social, and governance-related information for sustainable development. This framework comprises 11 key topics and 38 key indicators. Furthermore, the ESG factor library encompasses 500 underlying indicators in total. Moreover, we have also included specialized indicator factors such as green revenue and penalty impact level.</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listed companies emphasize the disclosure of sustainable information, with a disproportionate focus on pollution prevention and control, ecosystem protection, employee-related issues, business behavior, and corporate governance. Additionally, the disclosure of ESG information exhibits industry variability, with notable exceptions among the banking and non-bank financial sectors. Notably, these sectors excel in disclosing ESG information related to social contributions, supply chain and customer relations, employee welfare, and sustainable development governance mechanisms.</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correlation analysis between ESG factors and Barra factors reveals a more pronounced positive correlation with large-cap, mid-cap, value, and leverage factors. Specifically, listed companies with larger market capitalizations, desirable valuations, and lower leverage ratios tend to exhibit superior ESG performance. Moreover, the correlation with ESG factors is relatively weak for short-term and technical indicators, such as momentum, growth, liquidity, and beta factors, which are often indicative of short-term fluctuations. From a long-term perspective, ESG factors can provide incremental value.</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pronounced positive correlation between ESG factors and fundamental performance indicators, indicating a natural alignment between ESG investing and long-term value investing. Specifically, companies with strong ESG performance tend to exhibit superior financial conditions and profitability, enabling them to deliver stable dividend payments. Furthermore, they demonstrate greater efficiency in resource management and cost control, generating stronger cash flow and, in turn, driving higher expected returns that attract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The environmental, social, and governance (ESG) factors influence stock selection effectiveness, particularly in addressing climate change, pollutant prevention, and ecosystem protection, as well as corporate governance and technological ethics. Our analysis reveals that employees with strong ESG considerations exhibit effective stock selection across multiple broad-based index samples, with average IC values exceeding 0.02. The issue dimension we constructed, comprising ESG factors, demonstrates excellent stock selection effectiveness in the CSI 800 sample, with a strong positive correlation between the factor score and individual stock returns in the subsequent period.</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Using the Sustainability Accounting Standards Board's standards and exchange disclosure guidelines, this study develops and structures a comprehensive ESG scoring system under the Shenwan Secondary Industry Dimension. Employing the non-ferrous metals industry as a case study, we quantified and analyzed the IC effectiveness of the substantive topic indicators subclassified under Shenwan's secondary industry grouping. Our analysis reveals that the industry's operational sustainability indicators, such as greenhouse gas emissions, energy efficiency, and water resources management, are more effective in stock selection. These indicators, in addition to social relations and labor management, are crucial factors in the evaluation process.</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Given the dynamic shifts in the market and corporate behavior, the factor library model necessitates ongoing optimization and adjustment to maintain its relevance and efficacy across diverse periods and market environments. As more companies standardize and mandatorily disclose ESG information, data coverage and accuracy within the factor library will continue to improve, thereby bolstering investors' in-depth analysis and decision-making capabilities in the ESG dimension.</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