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pPr>
        <w:pStyle w:val="ListBullet"/>
      </w:pPr>
      <w:r>
        <w:t>Building upon the Guidelines, we incorporated two essential topics – corporate governance information and risk management – within the governance dimension. The ESG factor library of Xingzheng Financial Engineering is thus categorized into three distinct dimensions: environmental, social, and governance-oriented towards sustainable development, with 11 key topics and 38 corresponding indicators. The comprehensive ESG factor library now encompasses 500 underlying indicators. Furthermore, we introduced customized indicator factors, including green revenue and penalty impact level, to provide additional granularity.</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pPr>
        <w:pStyle w:val="ListBullet"/>
      </w:pPr>
      <w:r>
        <w:t>Large listed companies prioritize the disclosure of sustainable information, particularly in regards to pollution prevention and control, ecosystem protection, employee-related issues, business behavior, and corporate governance. Notably, the coverage of these subjects is relatively extensive. Meanwhile, the disclosure of ESG information exhibits industry heterogeneity. Specifically, the banking and non-bank financial industries excel in multiple ESG disclosure areas, including social contributions, suppliers and customers, employees, and sustainable development-related governance mechanisms.</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pPr>
        <w:pStyle w:val="ListBullet"/>
      </w:pPr>
      <w:r>
        <w:t>The correlation analysis between ESG factors and Barra factors reveals a more pronounced positive correlation between ESG factors and large-cap, mid-cap, value, and leverage factors. Companies with larger market capitalization, attractive valuations, and lower leverage ratios tend to perform better in ESG terms, whereas ESG is a medium- to long-term indicator. Consequently, the correlation with short-term technical indicators, such as momentum, growth, liquidity, and beta factors, is relatively weak. From a longer-term perspective, ESG factors offer incremental information that supplements existing indicators.</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pPr>
        <w:pStyle w:val="ListBullet"/>
      </w:pPr>
      <w:r>
        <w:t>The statistical analysis reveals a notable positive correlation between environmental, social, and governance (ESG) factors and fundamental performance indicators. This finding underscores the inherent alignment between ESG investment and long-term value investment. The correlation between ESG factors and value factors suggests that companies with strong ESG performance tend to exhibit stronger financial profiles and profitability, allowing them to deliver reliable dividend payments. Furthermore, they demonstrate greater resource management and cost control efficiency, generating robust cash flow and driving stock prices to reflect higher expected returns, making them appealing to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pPr>
        <w:pStyle w:val="ListBullet"/>
      </w:pPr>
      <w:r>
        <w:t>When examining the effectiveness of stock selection in addressing climate change, pollution prevention, and ecosystem protection, as well as innovation-driven and technological ethics among employees, we find that these factors have a significant positive impact on investment performance in broad-based index samples, with average IC scores exceeding 0.02. Furthermore, our analysis suggests that the governance dimension, focusing on corporate governance information, also plays a crucial role in shaping stock selection effectiveness. Notably, the ESG factors we constructed, categorized under the issue dimension, exhibit excellent stock selection effectiveness in a sample of 800 CSI stocks. Moreover, across multiple issues, the factor scores demonstrate a strong positive correlation with subsequent individual stock returns.</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pPr>
        <w:pStyle w:val="ListBullet"/>
      </w:pPr>
      <w:r>
        <w:t>Building on the SASB standards and exchange disclosure guidelines, this article develops and structures a comprehensive ESG scoring system under the Shenwan Secondary Industry Dimension. Using the non-ferrous metals industry as a case study, we compiled and analyzed the performance indicators under Shenwan's secondary classification, revealing that sustainable operational indicators, such as greenhouse gas emissions, energy efficiency, and water resources management, are most effective for stock selection, followed by social relations and labor management indicators.</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p>
      <w:pPr>
        <w:pStyle w:val="ListBullet"/>
      </w:pPr>
      <w:r>
        <w:t>Given the ever-changing market dynamics and corporate behavior, the factor library model necessitates ongoing optimization and adjustments to maintain its relevance and effectiveness across varying market conditions and time periods. As ESG reporting becomes increasingly standardized and mandatory, more companies will disclose ESG information, resulting in enhanced data coverage and accuracy within the factor library. This, in turn, will reinforce investors' ability to conduct in-depth analysis and informed decision-making within the ESG space.</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