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87324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The USA showed the strongest correlation between BEV_Share and Units_Sold / Revenue_EUR; China saw the largest increase in BEV share, rising from 0.0202 to 0.1942, an increase of 0.1740.</w:t>
      </w:r>
    </w:p>
    <w:p w14:paraId="218F4DBE">
      <w:pPr>
        <w:rPr>
          <w:rFonts w:hint="eastAsia"/>
          <w:sz w:val="22"/>
          <w:szCs w:val="22"/>
        </w:rPr>
      </w:pPr>
    </w:p>
    <w:p w14:paraId="69FB9FE7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Between 2018 and 2025, the bev_and_units_trend chart shows that BEV_Share has been continuously rising in all four regions, and is significantly positively correlated with Units_Sold and Revenue_EUR (see bev_and_units_trend chart), indicating that while the proportion of electric vehicles is increasing, sales and revenue are also growing overall.</w:t>
      </w:r>
    </w:p>
    <w:p w14:paraId="2818CEDA">
      <w:pPr>
        <w:rPr>
          <w:rFonts w:hint="eastAsia"/>
          <w:sz w:val="22"/>
          <w:szCs w:val="22"/>
        </w:rPr>
      </w:pPr>
    </w:p>
    <w:p w14:paraId="00903268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Looking at the specific regions, the </w:t>
      </w:r>
      <w:r>
        <w:rPr>
          <w:rFonts w:hint="default"/>
          <w:sz w:val="22"/>
          <w:szCs w:val="22"/>
          <w:lang w:val="en-US" w:eastAsia="zh-CN"/>
        </w:rPr>
        <w:t>‘</w:t>
      </w:r>
      <w:r>
        <w:rPr>
          <w:rFonts w:hint="eastAsia"/>
          <w:sz w:val="22"/>
          <w:szCs w:val="22"/>
        </w:rPr>
        <w:t>question_a_summary.csv</w:t>
      </w:r>
      <w:r>
        <w:rPr>
          <w:rFonts w:hint="default"/>
          <w:sz w:val="22"/>
          <w:szCs w:val="22"/>
          <w:lang w:val="en-US" w:eastAsia="zh-CN"/>
        </w:rPr>
        <w:t>’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sz w:val="22"/>
          <w:szCs w:val="22"/>
        </w:rPr>
        <w:t>file shows:</w:t>
      </w:r>
    </w:p>
    <w:p w14:paraId="0567C2DA">
      <w:pPr>
        <w:rPr>
          <w:rFonts w:hint="eastAsia"/>
          <w:sz w:val="22"/>
          <w:szCs w:val="22"/>
        </w:rPr>
      </w:pPr>
    </w:p>
    <w:p w14:paraId="51BBC498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USA has the strongest correlation:</w:t>
      </w:r>
    </w:p>
    <w:p w14:paraId="1173A57B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corr(BEV_Share, Units_Sold) = 0.979</w:t>
      </w:r>
    </w:p>
    <w:p w14:paraId="5B66C8AF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corr(BEV_Share, Revenue_EUR) = 0.981</w:t>
      </w:r>
    </w:p>
    <w:p w14:paraId="7A93F34B">
      <w:pPr>
        <w:rPr>
          <w:rFonts w:hint="eastAsia"/>
          <w:sz w:val="22"/>
          <w:szCs w:val="22"/>
        </w:rPr>
      </w:pPr>
    </w:p>
    <w:p w14:paraId="67196CA6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China is next:</w:t>
      </w:r>
    </w:p>
    <w:p w14:paraId="77B66FEC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corr(BEV_Share, Units_Sold)</w:t>
      </w:r>
      <w:r>
        <w:rPr>
          <w:rFonts w:hint="eastAsia"/>
          <w:sz w:val="22"/>
          <w:szCs w:val="22"/>
          <w:lang w:val="en-US" w:eastAsia="zh-CN"/>
        </w:rPr>
        <w:t xml:space="preserve"> = </w:t>
      </w:r>
      <w:r>
        <w:rPr>
          <w:rFonts w:hint="eastAsia"/>
          <w:sz w:val="22"/>
          <w:szCs w:val="22"/>
        </w:rPr>
        <w:t xml:space="preserve">0.958 </w:t>
      </w:r>
    </w:p>
    <w:p w14:paraId="123D74C6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corr(BEV_Share, Revenue_EUR) =  0.953</w:t>
      </w:r>
    </w:p>
    <w:p w14:paraId="2D1E56D0">
      <w:pPr>
        <w:rPr>
          <w:rFonts w:hint="eastAsia"/>
          <w:sz w:val="22"/>
          <w:szCs w:val="22"/>
        </w:rPr>
      </w:pPr>
    </w:p>
    <w:p w14:paraId="3CD7B02A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Europe is also strong, but slightly lower:</w:t>
      </w:r>
    </w:p>
    <w:p w14:paraId="2F4A6F93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corr(BEV_Share, Revenue_EUR) = 0.844 </w:t>
      </w:r>
    </w:p>
    <w:p w14:paraId="76BFBC88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corr(BEV_Share, Revenue_EUR) = 0.815</w:t>
      </w:r>
    </w:p>
    <w:p w14:paraId="657F7852">
      <w:pPr>
        <w:rPr>
          <w:rFonts w:hint="eastAsia"/>
          <w:sz w:val="22"/>
          <w:szCs w:val="22"/>
        </w:rPr>
      </w:pPr>
    </w:p>
    <w:p w14:paraId="452C31C6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RestOfWorld has the weakest correlation, but it is still a significant positive correlation:</w:t>
      </w:r>
    </w:p>
    <w:p w14:paraId="7FC0CA87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corr(BEV_Share, Revenue_EUR) = 0.795 </w:t>
      </w:r>
    </w:p>
    <w:p w14:paraId="6BD5C5A7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corr(BEV_Share, Revenue_EUR) = 0.797</w:t>
      </w:r>
    </w:p>
    <w:p w14:paraId="69DE949C">
      <w:pPr>
        <w:rPr>
          <w:rFonts w:hint="eastAsia"/>
          <w:sz w:val="22"/>
          <w:szCs w:val="22"/>
        </w:rPr>
      </w:pPr>
    </w:p>
    <w:p w14:paraId="1F628DF1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If we consider the final BEV share in 2025, Europe is slightly higher, reaching 0.1950.</w:t>
      </w:r>
    </w:p>
    <w:p w14:paraId="0889960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Conclusion: All four regions are clearly transitioning to electrification, with China showing the largest shift. The USA shows the strongest correlation between BEV share and sales volume and revenue.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37C35"/>
    <w:rsid w:val="5B96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</Words>
  <Characters>1190</Characters>
  <Lines>0</Lines>
  <Paragraphs>0</Paragraphs>
  <TotalTime>15</TotalTime>
  <ScaleCrop>false</ScaleCrop>
  <LinksUpToDate>false</LinksUpToDate>
  <CharactersWithSpaces>1366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2026-04-16T21:03:00Z</dcterms:created>
  <dc:creator>DELL</dc:creator>
  <cp:lastModifiedBy>WPS_1602077761</cp:lastModifiedBy>
  <dcterms:modified xsi:type="dcterms:W3CDTF">2026-04-16T21:40:06Z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eyJoZGlkIjoiNTU3Njg0YTMxMTJiYjZhNTY1NTYyOGI4MzM3MWY1NGYiLCJ1c2VySWQiOiIxMTI4Mjg1ODQ1In0=</vt:lpwstr>
  </property>
  <property fmtid="{D5CDD505-2E9C-101B-9397-08002B2CF9AE}" pid="4" name="ICV">
    <vt:lpwstr>FDF0FDF4CB2D478B92D1927AF6E8E76C_12</vt:lpwstr>
  </property>
</Properties>
</file>