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EE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monthly_region_metrics.csv and monthly_sales_and_revenue.png files show the monthly patterns for each region as follows:</w:t>
      </w:r>
    </w:p>
    <w:p w14:paraId="3CCB4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China: March sees the highest sales and revenue, January the lowest.</w:t>
      </w:r>
    </w:p>
    <w:p w14:paraId="49777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Europe: December sees the highest sales, January the lowest; revenue also peaks in December, but bottoms out in October.</w:t>
      </w:r>
    </w:p>
    <w:p w14:paraId="671FC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RestOfWorld: June sees the highest sales, April the lowest.</w:t>
      </w:r>
    </w:p>
    <w:p w14:paraId="56B53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USA: June sees the highest sales, August the lowest.</w:t>
      </w:r>
    </w:p>
    <w:p w14:paraId="34844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indicates that peak sales seasons do not coincide across regions, showing significant regional differences.</w:t>
      </w:r>
    </w:p>
    <w:p w14:paraId="5CA0CDDF">
      <w:pPr>
        <w:rPr>
          <w:rFonts w:hint="default"/>
          <w:lang w:val="en-US" w:eastAsia="zh-CN"/>
        </w:rPr>
      </w:pPr>
    </w:p>
    <w:p w14:paraId="430B5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Looking at the macroeconomic indicators in question_c_summary.csv:</w:t>
      </w:r>
    </w:p>
    <w:p w14:paraId="281CD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China is most sensitive to GDP_Growth:</w:t>
      </w:r>
    </w:p>
    <w:p w14:paraId="6C88C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corr(Units_Sold, GDP_Growth) = 0.159</w:t>
      </w:r>
    </w:p>
    <w:p w14:paraId="2F2D2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corr(Revenue_EUR, GDP_Growth) = 0.167</w:t>
      </w:r>
    </w:p>
    <w:p w14:paraId="375D3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However, Europe, RestOfWorld, and USA show relatively weak correlations with GDP in this data, even slightly negative ones.</w:t>
      </w:r>
    </w:p>
    <w:p w14:paraId="5CC9522C">
      <w:pPr>
        <w:rPr>
          <w:rFonts w:hint="default"/>
          <w:lang w:val="en-US" w:eastAsia="zh-CN"/>
        </w:rPr>
      </w:pPr>
    </w:p>
    <w:p w14:paraId="78779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comparison, the relationship between Fuel_Price_Index and sales volume and revenue is more stable and obvious:</w:t>
      </w:r>
    </w:p>
    <w:p w14:paraId="3871F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 is the strongest:</w:t>
      </w:r>
    </w:p>
    <w:p w14:paraId="2CAFF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corr(Units_Sold, Fuel_Price_Index) = 0.504</w:t>
      </w:r>
    </w:p>
    <w:p w14:paraId="3DB4C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corr(Revenue_EUR, Fuel_Price_Index) = 0.484</w:t>
      </w:r>
    </w:p>
    <w:p w14:paraId="19A63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China is also relatively strong:</w:t>
      </w:r>
    </w:p>
    <w:p w14:paraId="3EA2D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0.414 and 0.404</w:t>
      </w:r>
    </w:p>
    <w:p w14:paraId="3FB2CA95">
      <w:pPr>
        <w:rPr>
          <w:rFonts w:hint="default"/>
          <w:lang w:val="en-US" w:eastAsia="zh-CN"/>
        </w:rPr>
      </w:pPr>
    </w:p>
    <w:p w14:paraId="14BE73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c</w:t>
      </w:r>
      <w:bookmarkStart w:id="0" w:name="_GoBack"/>
      <w:bookmarkEnd w:id="0"/>
      <w:r>
        <w:rPr>
          <w:rFonts w:hint="default"/>
          <w:lang w:val="en-US" w:eastAsia="zh-CN"/>
        </w:rPr>
        <w:t>onclusion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 xml:space="preserve"> both sales volume and revenue show obvious monthly seasonality, but the peak seasons differ in different regions; in terms of macroeconomic factors, China is more affected by GDP changes, while USA and China are more affected by fuel price changes.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56DB1"/>
    <w:rsid w:val="38E0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2026-04-16T21:42:19Z</dcterms:created>
  <dc:creator>DELL</dc:creator>
  <cp:lastModifiedBy>WPS_1602077761</cp:lastModifiedBy>
  <dcterms:modified xsi:type="dcterms:W3CDTF">2026-04-16T22:07:33Z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eyJoZGlkIjoiNTU3Njg0YTMxMTJiYjZhNTY1NTYyOGI4MzM3MWY1NGYiLCJ1c2VySWQiOiIxMTI4Mjg1ODQ1In0=</vt:lpwstr>
  </property>
  <property fmtid="{D5CDD505-2E9C-101B-9397-08002B2CF9AE}" pid="4" name="ICV">
    <vt:lpwstr>BB784AA3404447AF8430A6318F158427_12</vt:lpwstr>
  </property>
</Properties>
</file>