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A000A">
      <w:pPr>
        <w:pStyle w:val="164"/>
        <w:spacing w:after="40" w:before="0" w:line="252" w:lineRule="auto"/>
        <w:jc w:val="center"/>
        <w:rPr>
          <w:rFonts w:hint="default" w:ascii="Times New Roman Bold" w:hAnsi="Times New Roman Bold" w:cs="Times New Roman Bold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hint="default" w:ascii="Times New Roman Bold" w:hAnsi="Times New Roman Bold" w:cs="Times New Roman Bold"/>
          <w:i w:val="0"/>
          <w:iCs/>
          <w:color w:val="000000" w:themeColor="text1"/>
          <w14:textFill>
            <w14:solidFill>
              <w14:schemeClr w14:val="tx1"/>
            </w14:solidFill>
          </w14:textFill>
          <w:sz w:val="40"/>
          <w:szCs w:val="40"/>
        </w:rPr>
        <w:t>Yixuan YU</w:t>
      </w:r>
    </w:p>
    <w:p w14:paraId="2091C7F4">
      <w:pPr>
        <w:spacing w:after="60" w:before="0" w:line="252" w:lineRule="auto"/>
        <w:jc w:val="center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0"/>
          <w:szCs w:val="20"/>
        </w:rPr>
        <w:t xml:space="preserve">Mobile: +86 139 1032 0726  |  Email: g00d_0726@qq.com  |  Portfolio: __________</w:t>
      </w:r>
    </w:p>
    <w:p w14:paraId="13952189">
      <w:pPr>
        <w:pStyle w:val="165"/>
        <w:pBdr>
          <w:bottom w:val="single" w:color="A9A9A9" w:sz="6" w:space="3"/>
        </w:pBdr>
        <w:spacing w:before="60" w:after="40" w:line="252" w:lineRule="auto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1"/>
          <w:i w:val="0"/>
          <w:color w:val="000000"/>
          <w:sz w:val="24"/>
          <w:szCs w:val="24"/>
        </w:rPr>
        <w:t xml:space="preserve">EDUCATION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0"/>
        <w:gridCol w:w="2368"/>
      </w:tblGrid>
      <w:tr w14:paraId="3DF10660">
        <w:trPr>
          <w:cantSplit/>
          <w:jc w:val="center"/>
        </w:trPr>
        <w:tc>
          <w:tcPr>
            <w:tcW w:w="8000" w:type="dxa"/>
            <w:vAlign w:val="center"/>
          </w:tcPr>
          <w:p w14:paraId="49ED4EE3">
            <w:pPr>
              <w:pStyle w:val="166"/>
              <w:keepNext/>
              <w:spacing w:before="40" w:after="0" w:line="252" w:lineRule="auto"/>
              <w:jc w:val="left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1"/>
                <w:szCs w:val="21"/>
              </w:rPr>
              <w:t xml:space="preserve">Capital University of Economics and Business</w:t>
            </w:r>
          </w:p>
        </w:tc>
        <w:tc>
          <w:tcPr>
            <w:tcW w:w="2368" w:type="dxa"/>
            <w:vAlign w:val="center"/>
          </w:tcPr>
          <w:p w14:paraId="6F5835CC">
            <w:pPr>
              <w:pStyle w:val="167"/>
              <w:keepNext/>
              <w:spacing w:before="40" w:after="0" w:line="252" w:lineRule="auto"/>
              <w:jc w:val="right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0"/>
                <w:szCs w:val="20"/>
              </w:rPr>
              <w:t xml:space="preserve">2023.09 – 2027.06</w:t>
            </w:r>
          </w:p>
        </w:tc>
      </w:tr>
    </w:tbl>
    <w:p w14:paraId="44C1FFDE">
      <w:pPr>
        <w:pStyle w:val="167"/>
        <w:keepNext/>
        <w:spacing w:after="20" w:before="0" w:line="252" w:lineRule="auto"/>
        <w:rPr>
          <w:rFonts w:hint="default" w:ascii="Times New Roman Bold" w:hAnsi="Times New Roman Bold" w:cs="Times New Roman Bold"/>
          <w:i w:val="0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B.S. in Statistics (in progress) | Major Average: 89.78 | Rank: 13/75</w:t>
      </w:r>
    </w:p>
    <w:p w14:paraId="2091C7F4">
      <w:pPr>
        <w:spacing w:after="20" w:before="0" w:line="252" w:lineRule="auto"/>
        <w:jc w:val="left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Academic Excellence Scholarship (Third Class), 2024–2025. Courses: Optimization Methods, Stochastic Processes, Distributed Computing.</w:t>
      </w:r>
    </w:p>
    <w:p w14:paraId="13952189">
      <w:pPr>
        <w:pStyle w:val="165"/>
        <w:pBdr>
          <w:bottom w:val="single" w:color="A9A9A9" w:sz="6" w:space="3"/>
        </w:pBdr>
        <w:spacing w:before="60" w:after="40" w:line="252" w:lineRule="auto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1"/>
          <w:i w:val="0"/>
          <w:color w:val="000000"/>
          <w:sz w:val="24"/>
          <w:szCs w:val="24"/>
        </w:rPr>
        <w:t xml:space="preserve">PROJECTS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0"/>
        <w:gridCol w:w="2368"/>
      </w:tblGrid>
      <w:tr w14:paraId="72B3D3F7">
        <w:trPr>
          <w:cantSplit/>
          <w:jc w:val="center"/>
        </w:trPr>
        <w:tc>
          <w:tcPr>
            <w:tcW w:w="8000" w:type="dxa"/>
            <w:vAlign w:val="center"/>
          </w:tcPr>
          <w:p w14:paraId="48133B9D">
            <w:pPr>
              <w:pStyle w:val="166"/>
              <w:keepNext/>
              <w:spacing w:before="40" w:after="0" w:line="252" w:lineRule="auto"/>
              <w:rPr>
                <w:rFonts w:hint="default" w:ascii="Times New Roman Bold" w:hAnsi="Times New Roman Bold" w:cs="Times New Roman Bold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jc w:val="left"/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1"/>
                <w:szCs w:val="21"/>
              </w:rPr>
              <w:t xml:space="preserve">StatsShooter | </w:t>
            </w:r>
            <w:r>
              <w:rPr>
                <w:rFonts w:ascii="Times New Roman Regular" w:hAnsi="Times New Roman Regular" w:cs="Times New Roman Regular"/>
                <w:b w:val="0"/>
                <w:i w:val="0"/>
                <w:color w:val="000000"/>
                <w:sz w:val="21"/>
                <w:szCs w:val="21"/>
              </w:rPr>
              <w:t xml:space="preserve">Solo Designer/Developer | Unity, C#</w:t>
            </w:r>
          </w:p>
        </w:tc>
        <w:tc>
          <w:tcPr>
            <w:tcW w:w="2368" w:type="dxa"/>
            <w:vAlign w:val="center"/>
          </w:tcPr>
          <w:p w14:paraId="449518BE">
            <w:pPr>
              <w:pStyle w:val="167"/>
              <w:keepNext/>
              <w:spacing w:before="40" w:after="0" w:line="252" w:lineRule="auto"/>
              <w:jc w:val="right"/>
              <w:rPr>
                <w:rFonts w:hint="default" w:ascii="Times New Roman Bold" w:hAnsi="Times New Roman Bold" w:cs="Times New Roman Bold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0"/>
                <w:szCs w:val="20"/>
              </w:rPr>
              <w:t xml:space="preserve">2026.07 – 2026.10</w:t>
            </w:r>
          </w:p>
        </w:tc>
      </w:tr>
    </w:tbl>
    <w:p w14:paraId="2091C7F4">
      <w:pPr>
        <w:spacing w:after="20" w:before="0" w:line="252" w:lineRule="auto"/>
        <w:jc w:val="left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keepNext w:val="1"/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A top-down roguelike shooter where players use statistical sampling to shape their weapons.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Created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41 upgrades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 and 12 starting abilities leading to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2 endgame builds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, including armies of up to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64 clones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.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Applied statistical concepts to design distinct combat strategies around high variance and stability.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0"/>
        <w:gridCol w:w="2368"/>
      </w:tblGrid>
      <w:tr w14:paraId="504E00F1">
        <w:trPr>
          <w:cantSplit/>
          <w:jc w:val="center"/>
        </w:trPr>
        <w:tc>
          <w:tcPr>
            <w:tcW w:w="8000" w:type="dxa"/>
            <w:vAlign w:val="center"/>
          </w:tcPr>
          <w:p w14:paraId="2C5B0BC3">
            <w:pPr>
              <w:pStyle w:val="166"/>
              <w:keepNext/>
              <w:spacing w:before="40" w:after="0" w:line="252" w:lineRule="auto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jc w:val="left"/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1"/>
                <w:szCs w:val="21"/>
              </w:rPr>
              <w:t xml:space="preserve">EyeDle | </w:t>
            </w:r>
            <w:r>
              <w:rPr>
                <w:rFonts w:ascii="Times New Roman Regular" w:hAnsi="Times New Roman Regular" w:cs="Times New Roman Regular"/>
                <w:b w:val="0"/>
                <w:i w:val="0"/>
                <w:color w:val="000000"/>
                <w:sz w:val="21"/>
                <w:szCs w:val="21"/>
              </w:rPr>
              <w:t xml:space="preserve">Solo Designer/Developer | Unity, C#, MediaPipe, L2CS-Net</w:t>
            </w:r>
          </w:p>
        </w:tc>
        <w:tc>
          <w:tcPr>
            <w:tcW w:w="2368" w:type="dxa"/>
            <w:vAlign w:val="center"/>
          </w:tcPr>
          <w:p w14:paraId="7AAC9FD8">
            <w:pPr>
              <w:pStyle w:val="167"/>
              <w:keepNext/>
              <w:spacing w:before="40" w:after="0" w:line="252" w:lineRule="auto"/>
              <w:jc w:val="right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0"/>
                <w:szCs w:val="20"/>
              </w:rPr>
              <w:t xml:space="preserve">2026.02 – 2026.09</w:t>
            </w:r>
          </w:p>
        </w:tc>
      </w:tr>
    </w:tbl>
    <w:p w14:paraId="2091C7F4">
      <w:pPr>
        <w:spacing w:after="20" w:before="0" w:line="252" w:lineRule="auto"/>
        <w:jc w:val="left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keepNext w:val="1"/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An eye-care serious game where brief guided eye actions fuel an idle production-and-upgrade loop.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Designed short sessions and offline progression to make screen breaks part of play; integrated MediaPipe input and verified L2CS-Net inference in Unity.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Mid-stage testing (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one week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,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over 10 participants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) and late-stage playtests informed voice guidance and calibration.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0"/>
        <w:gridCol w:w="2368"/>
      </w:tblGrid>
      <w:tr w14:paraId="574452F7">
        <w:trPr>
          <w:cantSplit/>
          <w:jc w:val="center"/>
        </w:trPr>
        <w:tc>
          <w:tcPr>
            <w:tcW w:w="8000" w:type="dxa"/>
            <w:vAlign w:val="center"/>
          </w:tcPr>
          <w:p w14:paraId="5AD148AF">
            <w:pPr>
              <w:pStyle w:val="166"/>
              <w:keepNext/>
              <w:spacing w:before="40" w:after="0" w:line="252" w:lineRule="auto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jc w:val="left"/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1"/>
                <w:szCs w:val="21"/>
              </w:rPr>
              <w:t xml:space="preserve">KeepDribbling | </w:t>
            </w:r>
            <w:r>
              <w:rPr>
                <w:rFonts w:ascii="Times New Roman Regular" w:hAnsi="Times New Roman Regular" w:cs="Times New Roman Regular"/>
                <w:b w:val="0"/>
                <w:i w:val="0"/>
                <w:color w:val="000000"/>
                <w:sz w:val="21"/>
                <w:szCs w:val="21"/>
              </w:rPr>
              <w:t xml:space="preserve">Solo Designer/Developer | Unity, C#, Blender</w:t>
            </w:r>
            <w:r>
              <w:rPr>
                <w:rFonts w:ascii="Times New Roman Regular" w:hAnsi="Times New Roman Regular" w:cs="Times New Roman Regular"/>
                <w:b w:val="0"/>
                <w:i w:val="0"/>
                <w:color w:val="000000"/>
                <w:sz w:val="21"/>
                <w:szCs w:val="21"/>
              </w:rPr>
              <w:t xml:space="preserve"> | </w:t>
            </w:r>
            <w:hyperlink r:id="rId9">
              <w:r>
                <w:rPr>
                  <w:rFonts w:ascii="Times New Roman Regular" w:hAnsi="Times New Roman Regular" w:cs="Times New Roman Regular"/>
                  <w:b w:val="0"/>
                  <w:i w:val="0"/>
                  <w:color w:val="000000"/>
                  <w:u w:val="single"/>
                  <w:sz w:val="21"/>
                  <w:szCs w:val="21"/>
                </w:rPr>
                <w:t xml:space="preserve">Demo</w:t>
              </w:r>
            </w:hyperlink>
          </w:p>
        </w:tc>
        <w:tc>
          <w:tcPr>
            <w:tcW w:w="2368" w:type="dxa"/>
            <w:vAlign w:val="center"/>
          </w:tcPr>
          <w:p w14:paraId="71A9D6A5">
            <w:pPr>
              <w:pStyle w:val="167"/>
              <w:keepNext/>
              <w:spacing w:before="40" w:after="0" w:line="252" w:lineRule="auto"/>
              <w:jc w:val="right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0"/>
                <w:szCs w:val="20"/>
              </w:rPr>
              <w:t xml:space="preserve">2025.07 – 2026.03</w:t>
            </w:r>
          </w:p>
        </w:tc>
      </w:tr>
    </w:tbl>
    <w:p w14:paraId="2091C7F4">
      <w:pPr>
        <w:spacing w:after="20" w:before="0" w:line="252" w:lineRule="auto"/>
        <w:jc w:val="left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keepNext w:val="1"/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A basketball runner about returning to play after injury through repeated setbacks and recovery.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Made dropped balls and retrieval a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playable metaphor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 for setbacks in recovery; linked completion time and ball drops to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5 branching endings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.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Designed escalating challenges across 2 stages and a shooting finale; rigged characters and adapted animations in Blender.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0"/>
        <w:gridCol w:w="2368"/>
      </w:tblGrid>
      <w:tr w14:paraId="101C2F15">
        <w:trPr>
          <w:cantSplit/>
          <w:jc w:val="center"/>
        </w:trPr>
        <w:tc>
          <w:tcPr>
            <w:tcW w:w="8000" w:type="dxa"/>
            <w:vAlign w:val="center"/>
          </w:tcPr>
          <w:p w14:paraId="60B5E00A">
            <w:pPr>
              <w:pStyle w:val="166"/>
              <w:keepNext/>
              <w:spacing w:before="40" w:after="0" w:line="252" w:lineRule="auto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jc w:val="left"/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1"/>
                <w:szCs w:val="21"/>
              </w:rPr>
              <w:t xml:space="preserve">The Grand Gamble | Global Game Jam 2026</w:t>
            </w:r>
          </w:p>
        </w:tc>
        <w:tc>
          <w:tcPr>
            <w:tcW w:w="2368" w:type="dxa"/>
            <w:vAlign w:val="center"/>
          </w:tcPr>
          <w:p w14:paraId="4F5C34E8">
            <w:pPr>
              <w:pStyle w:val="167"/>
              <w:keepNext/>
              <w:spacing w:before="40" w:after="0" w:line="252" w:lineRule="auto"/>
              <w:jc w:val="right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0"/>
                <w:szCs w:val="20"/>
              </w:rPr>
              <w:t xml:space="preserve">2026.01</w:t>
            </w:r>
          </w:p>
        </w:tc>
      </w:tr>
    </w:tbl>
    <w:p w14:paraId="44C1FFDE">
      <w:pPr>
        <w:pStyle w:val="167"/>
        <w:keepNext/>
        <w:spacing w:after="20" w:before="0" w:line="252" w:lineRule="auto"/>
        <w:rPr>
          <w:rFonts w:hint="default" w:ascii="Times New Roman Bold" w:hAnsi="Times New Roman Bold" w:cs="Times New Roman Bold"/>
          <w:i w:val="0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Lead Designer, Programmer &amp; Scene Builder | Unity, C# | Team of 5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 | </w:t>
      </w:r>
      <w:hyperlink r:id="rId10">
        <w:r>
          <w:rPr>
            <w:rFonts w:ascii="Times New Roman Regular" w:hAnsi="Times New Roman Regular" w:cs="Times New Roman Regular"/>
            <w:b w:val="0"/>
            <w:i w:val="0"/>
            <w:color w:val="000000"/>
            <w:u w:val="single"/>
            <w:sz w:val="21"/>
            <w:szCs w:val="21"/>
          </w:rPr>
          <w:t xml:space="preserve">Game</w:t>
        </w:r>
      </w:hyperlink>
    </w:p>
    <w:p w14:paraId="2091C7F4">
      <w:pPr>
        <w:spacing w:after="20" w:before="0" w:line="252" w:lineRule="auto"/>
        <w:jc w:val="left"/>
        <w:rPr>
          <w:rFonts w:hint="default" w:ascii="Times New Roman Regular" w:hAnsi="Times New Roman Regular" w:cs="Times New Roman Regular"/>
          <w:color w:val="000000" w:themeColor="text1"/>
          <w14:textFill>
            <w14:solidFill>
              <w14:schemeClr w14:val="tx1"/>
            </w14:solidFill>
          </w14:textFill>
        </w:rPr>
        <w:keepNext w:val="1"/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A turn-based bluffing card game against 3 AI opponents, with masks as rewards and penalties.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Used dwindling masks to raise the stakes of bluffing; designed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4 AI decision states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 shaped by cards, remaining masks and personality.</w:t>
      </w:r>
    </w:p>
    <w:p w14:paraId="13952189">
      <w:pPr>
        <w:pStyle w:val="165"/>
        <w:pBdr>
          <w:bottom w:val="single" w:color="A9A9A9" w:sz="6" w:space="3"/>
        </w:pBdr>
        <w:spacing w:before="60" w:after="40" w:line="252" w:lineRule="auto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1"/>
          <w:i w:val="0"/>
          <w:color w:val="000000"/>
          <w:sz w:val="24"/>
          <w:szCs w:val="24"/>
        </w:rPr>
        <w:t xml:space="preserve">RESEARCH &amp; AWARDS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0"/>
        <w:gridCol w:w="2368"/>
      </w:tblGrid>
      <w:tr w14:paraId="3EE85E36">
        <w:trPr>
          <w:cantSplit/>
          <w:jc w:val="center"/>
        </w:trPr>
        <w:tc>
          <w:tcPr>
            <w:tcW w:w="8000" w:type="dxa"/>
            <w:vAlign w:val="center"/>
          </w:tcPr>
          <w:p w14:paraId="66905655">
            <w:pPr>
              <w:pStyle w:val="166"/>
              <w:keepNext/>
              <w:spacing w:before="40" w:after="0" w:line="252" w:lineRule="auto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jc w:val="left"/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1"/>
                <w:szCs w:val="21"/>
              </w:rPr>
              <w:t xml:space="preserve">Game Market Potential Evaluation | Team Leader (3 members)</w:t>
            </w:r>
          </w:p>
        </w:tc>
        <w:tc>
          <w:tcPr>
            <w:tcW w:w="2368" w:type="dxa"/>
            <w:vAlign w:val="center"/>
          </w:tcPr>
          <w:p w14:paraId="767138C7">
            <w:pPr>
              <w:pStyle w:val="167"/>
              <w:keepNext/>
              <w:spacing w:before="40" w:after="0" w:line="252" w:lineRule="auto"/>
              <w:jc w:val="right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0"/>
                <w:szCs w:val="20"/>
              </w:rPr>
              <w:t xml:space="preserve">2025.03 – 2025.05</w:t>
            </w:r>
          </w:p>
        </w:tc>
      </w:tr>
    </w:tbl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Led modeling and paper drafting using Steam data; won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Second Prize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, Undergraduate Division, 11th National Undergraduate Statistical Modeling Competition.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First-author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 paper accepted at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ABDSC 2026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 (2026.10.10): Evaluating Game Market Potential through Player Reviews, Technical and Content Performance, and Market Behavior.</w:t>
      </w:r>
    </w:p>
    <w:p w14:paraId="13952189">
      <w:pPr>
        <w:pStyle w:val="165"/>
        <w:pBdr>
          <w:bottom w:val="single" w:color="A9A9A9" w:sz="6" w:space="3"/>
        </w:pBdr>
        <w:spacing w:before="60" w:after="40" w:line="252" w:lineRule="auto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1"/>
          <w:i w:val="0"/>
          <w:color w:val="000000"/>
          <w:sz w:val="24"/>
          <w:szCs w:val="24"/>
        </w:rPr>
        <w:t xml:space="preserve">INTERNSHIP EXPERIENCE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0"/>
        <w:gridCol w:w="2368"/>
      </w:tblGrid>
      <w:tr w14:paraId="5CAABE8F">
        <w:trPr>
          <w:cantSplit/>
          <w:jc w:val="center"/>
        </w:trPr>
        <w:tc>
          <w:tcPr>
            <w:tcW w:w="8000" w:type="dxa"/>
            <w:vAlign w:val="center"/>
          </w:tcPr>
          <w:p w14:paraId="1AF6F44E">
            <w:pPr>
              <w:pStyle w:val="166"/>
              <w:keepNext/>
              <w:spacing w:before="40" w:after="0" w:line="252" w:lineRule="auto"/>
              <w:rPr>
                <w:rFonts w:hint="eastAsia" w:ascii="Times New Roman Regular" w:hAnsi="Times New Roman Regular" w:eastAsia="宋体" w:cs="Times New Roman Regular"/>
                <w:i w:val="0"/>
                <w:i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jc w:val="left"/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1"/>
                <w:szCs w:val="21"/>
              </w:rPr>
              <w:t xml:space="preserve">Shanghai Sunborn | Game Design Intern (Systems)</w:t>
            </w:r>
          </w:p>
        </w:tc>
        <w:tc>
          <w:tcPr>
            <w:tcW w:w="2368" w:type="dxa"/>
            <w:vAlign w:val="center"/>
          </w:tcPr>
          <w:p w14:paraId="209B1DBB">
            <w:pPr>
              <w:pStyle w:val="167"/>
              <w:keepNext/>
              <w:spacing w:before="40" w:after="0" w:line="252" w:lineRule="auto"/>
              <w:jc w:val="right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0"/>
                <w:szCs w:val="20"/>
              </w:rPr>
              <w:t xml:space="preserve">2026.08</w:t>
            </w:r>
          </w:p>
        </w:tc>
      </w:tr>
    </w:tbl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Designed a Monte Carlo simulation plan to compare reward acquisition costs across different probabilities, guarantee thresholds and duplicate-protection rules.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Prepared system design drafts and low-fidelity prototypes outlining resource flows, reward feedback and playtest criteria.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0"/>
        <w:gridCol w:w="2368"/>
      </w:tblGrid>
      <w:tr w14:paraId="190AA8AD">
        <w:trPr>
          <w:cantSplit/>
          <w:jc w:val="center"/>
        </w:trPr>
        <w:tc>
          <w:tcPr>
            <w:tcW w:w="8000" w:type="dxa"/>
            <w:vAlign w:val="center"/>
          </w:tcPr>
          <w:p w14:paraId="6576B3D8">
            <w:pPr>
              <w:pStyle w:val="166"/>
              <w:keepNext/>
              <w:spacing w:before="40" w:after="0" w:line="252" w:lineRule="auto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jc w:val="left"/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1"/>
                <w:szCs w:val="21"/>
              </w:rPr>
              <w:t xml:space="preserve">China Mobile (Shanghai) | Data Operations Assistant</w:t>
            </w:r>
          </w:p>
        </w:tc>
        <w:tc>
          <w:tcPr>
            <w:tcW w:w="2368" w:type="dxa"/>
            <w:vAlign w:val="center"/>
          </w:tcPr>
          <w:p w14:paraId="24FEFD96">
            <w:pPr>
              <w:pStyle w:val="167"/>
              <w:keepNext/>
              <w:spacing w:before="40" w:after="0" w:line="252" w:lineRule="auto"/>
              <w:jc w:val="right"/>
              <w:rPr>
                <w:rFonts w:hint="default" w:ascii="Times New Roman Regular" w:hAnsi="Times New Roman Regular" w:cs="Times New Roman Regular"/>
                <w:i w:val="0"/>
                <w:i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keepLines w:val="1"/>
            </w:pPr>
            <w:r>
              <w:rPr>
                <w:rFonts w:ascii="Times New Roman Regular" w:hAnsi="Times New Roman Regular" w:cs="Times New Roman Regular"/>
                <w:b w:val="1"/>
                <w:i w:val="0"/>
                <w:color w:val="000000"/>
                <w:sz w:val="20"/>
                <w:szCs w:val="20"/>
              </w:rPr>
              <w:t xml:space="preserve">2024.07 – 2024.08</w:t>
            </w:r>
          </w:p>
        </w:tc>
      </w:tr>
    </w:tbl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Used funnel analysis and user segmentation to help identify factors affecting use of a new feature; documented findings and recommendations in an analysis report.</w:t>
      </w:r>
    </w:p>
    <w:p w14:paraId="13952189">
      <w:pPr>
        <w:pStyle w:val="165"/>
        <w:pBdr>
          <w:bottom w:val="single" w:color="A9A9A9" w:sz="6" w:space="3"/>
        </w:pBdr>
        <w:spacing w:before="60" w:after="40" w:line="252" w:lineRule="auto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1"/>
          <w:i w:val="0"/>
          <w:color w:val="000000"/>
          <w:sz w:val="24"/>
          <w:szCs w:val="24"/>
        </w:rPr>
        <w:t xml:space="preserve">SKILLS &amp; ACTIVITIES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Game Development: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 Unity, C#; Blender rigging/animation; MediaPipe eye input.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Programming Languages: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 Python, C, Java, R, SQL.</w:t>
      </w:r>
    </w:p>
    <w:p w14:paraId="6024841A">
      <w:pPr>
        <w:spacing w:after="20" w:before="0" w:line="252" w:lineRule="auto"/>
        <w:ind w:left="302" w:hanging="216"/>
        <w:rPr>
          <w:rFonts w:hint="default" w:ascii="Times New Roman Regular" w:hAnsi="Times New Roman Regular" w:cs="Times New Roman Regular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keepLines w:val="1"/>
      </w:pP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•  </w:t>
      </w:r>
      <w:r>
        <w:rPr>
          <w:rFonts w:ascii="Times New Roman Regular" w:hAnsi="Times New Roman Regular" w:cs="Times New Roman Regular"/>
          <w:b w:val="1"/>
          <w:i w:val="0"/>
          <w:color w:val="000000"/>
          <w:sz w:val="21"/>
          <w:szCs w:val="21"/>
        </w:rPr>
        <w:t xml:space="preserve">Leadership &amp; Service:</w:t>
      </w:r>
      <w:r>
        <w:rPr>
          <w:rFonts w:ascii="Times New Roman Regular" w:hAnsi="Times New Roman Regular" w:cs="Times New Roman Regular"/>
          <w:b w:val="0"/>
          <w:i w:val="0"/>
          <w:color w:val="000000"/>
          <w:sz w:val="21"/>
          <w:szCs w:val="21"/>
        </w:rPr>
        <w:t xml:space="preserve"> University women’s basketball starting center and captain (one academic year); summer volunteer educator, 2023–2026; deputy team leader, 2026.</w:t>
      </w:r>
    </w:p>
    <w:sectPr>
      <w:pgSz w:w="12240" w:h="15840"/>
      <w:pgMar w:top="720" w:right="821" w:bottom="720" w:left="821" w:header="288" w:footer="36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8" w:lineRule="auto"/>
      </w:pPr>
      <w:r>
        <w:separator/>
      </w:r>
    </w:p>
  </w:footnote>
  <w:footnote w:type="continuationSeparator" w:id="1">
    <w:p>
      <w:pPr>
        <w:spacing w:before="0" w:after="0" w:line="2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FF6E77"/>
    <w:rsid w:val="F3AFA537"/>
    <w:rsid w:val="F7FE31A2"/>
    <w:rsid w:val="FF5F92EC"/>
    <w:rsid w:val="FFB8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" w:line="248" w:lineRule="auto"/>
    </w:pPr>
    <w:rPr>
      <w:rFonts w:ascii="Arial" w:hAnsi="Arial" w:eastAsiaTheme="minorEastAsia" w:cstheme="minorBidi"/>
      <w:color w:val="1B202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vName"/>
    <w:uiPriority w:val="0"/>
    <w:pPr>
      <w:keepNext w:val="0"/>
      <w:spacing w:after="200" w:line="254" w:lineRule="auto"/>
    </w:pPr>
    <w:rPr>
      <w:rFonts w:ascii="Arial" w:hAnsi="Arial" w:eastAsiaTheme="minorEastAsia" w:cstheme="minorBidi"/>
      <w:b/>
      <w:i/>
      <w:color w:val="10161E"/>
      <w:sz w:val="42"/>
      <w:szCs w:val="22"/>
      <w:lang w:val="en-US" w:eastAsia="en-US" w:bidi="ar-SA"/>
    </w:rPr>
  </w:style>
  <w:style w:type="paragraph" w:customStyle="1" w:styleId="165">
    <w:name w:val="CvSection"/>
    <w:uiPriority w:val="0"/>
    <w:pPr>
      <w:keepNext/>
      <w:spacing w:after="200" w:line="254" w:lineRule="auto"/>
    </w:pPr>
    <w:rPr>
      <w:rFonts w:ascii="Arial" w:hAnsi="Arial" w:eastAsiaTheme="minorEastAsia" w:cstheme="minorBidi"/>
      <w:b/>
      <w:i/>
      <w:color w:val="10161E"/>
      <w:sz w:val="22"/>
      <w:szCs w:val="22"/>
      <w:lang w:val="en-US" w:eastAsia="en-US" w:bidi="ar-SA"/>
    </w:rPr>
  </w:style>
  <w:style w:type="paragraph" w:customStyle="1" w:styleId="166">
    <w:name w:val="CvEntry"/>
    <w:uiPriority w:val="0"/>
    <w:pPr>
      <w:keepNext/>
      <w:spacing w:after="200" w:line="254" w:lineRule="auto"/>
    </w:pPr>
    <w:rPr>
      <w:rFonts w:ascii="Arial" w:hAnsi="Arial" w:eastAsiaTheme="minorEastAsia" w:cstheme="minorBidi"/>
      <w:b/>
      <w:i/>
      <w:color w:val="10161E"/>
      <w:sz w:val="19"/>
      <w:szCs w:val="22"/>
      <w:lang w:val="en-US" w:eastAsia="en-US" w:bidi="ar-SA"/>
    </w:rPr>
  </w:style>
  <w:style w:type="paragraph" w:customStyle="1" w:styleId="167">
    <w:name w:val="CvRole"/>
    <w:uiPriority w:val="0"/>
    <w:pPr>
      <w:keepNext w:val="0"/>
      <w:spacing w:after="200" w:line="254" w:lineRule="auto"/>
    </w:pPr>
    <w:rPr>
      <w:rFonts w:ascii="Arial" w:hAnsi="Arial" w:eastAsiaTheme="minorEastAsia" w:cstheme="minorBidi"/>
      <w:i/>
      <w:color w:val="10161E"/>
      <w:sz w:val="18"/>
      <w:szCs w:val="22"/>
      <w:lang w:val="en-US" w:eastAsia="en-US" w:bidi="ar-SA"/>
    </w:rPr>
  </w:style>
  <w:style w:type="paragraph" w:customStyle="1" w:styleId="168">
    <w:name w:val="CvNote"/>
    <w:uiPriority w:val="0"/>
    <w:pPr>
      <w:keepNext w:val="0"/>
      <w:spacing w:after="200" w:line="254" w:lineRule="auto"/>
    </w:pPr>
    <w:rPr>
      <w:rFonts w:ascii="Arial" w:hAnsi="Arial" w:eastAsiaTheme="minorEastAsia" w:cstheme="minorBidi"/>
      <w:color w:val="10161E"/>
      <w:sz w:val="17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yperlink" Target="https://vimeo.com/1195910124" TargetMode="External"/><Relationship Id="rId10" Type="http://schemas.openxmlformats.org/officeDocument/2006/relationships/hyperlink" Target="https://globalgamejam.org/games/2026/grand-gamble-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WPS_1544241538</dc:creator>
  <dc:description>generated by python-docx</dc:description>
  <cp:lastModifiedBy>WPS_1544241538</cp:lastModifiedBy>
  <dcterms:modified xsi:type="dcterms:W3CDTF">2026-10-17T00:34:05Z</dcterms:modified>
  <dc:subject>Graduate Application CV - Game Design</dc:subject>
  <dc:title>Yixuan Yu | Curriculum Vitae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AABE47F9CF7EC61D0751D26A33AB19A5_42</vt:lpwstr>
  </property>
</Properties>
</file>