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pplementary-table-s1"/>
    <w:p>
      <w:pPr>
        <w:pStyle w:val="Heading1"/>
      </w:pPr>
      <w:r>
        <w:t xml:space="preserve">Supplementary Table S1</w:t>
      </w:r>
    </w:p>
    <w:p>
      <w:pPr>
        <w:pStyle w:val="FirstParagraph"/>
      </w:pPr>
      <w:r>
        <w:t xml:space="preserve">Supplementary Table S1. Assembly-quality metrics for the additional oomycete genomes included in the comparative synteny analysis. Metrics match those reported for the focal assemblies in Table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1"/>
        <w:gridCol w:w="1014"/>
        <w:gridCol w:w="965"/>
        <w:gridCol w:w="869"/>
        <w:gridCol w:w="434"/>
        <w:gridCol w:w="193"/>
        <w:gridCol w:w="434"/>
        <w:gridCol w:w="193"/>
        <w:gridCol w:w="724"/>
        <w:gridCol w:w="14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Assembly length (Mb)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contig (Mb)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 of contigs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N50 (Mb)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N90 (Mb)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GC content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 BUSCOs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Bremia lactucae</w:t>
            </w:r>
            <w:r>
              <w:t xml:space="preserve"> </w:t>
            </w:r>
            <w:r>
              <w:t xml:space="preserve">SF5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98.86% (S: 95.70%; D: 3.16%)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Peronospora destructor</w:t>
            </w:r>
            <w:r>
              <w:t xml:space="preserve"> </w:t>
            </w:r>
            <w:r>
              <w:t xml:space="preserve">Pd K2019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99.43% (S: 97.85%; D: 1.58%)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Peronospora effusa</w:t>
            </w:r>
            <w:r>
              <w:t xml:space="preserve"> </w:t>
            </w:r>
            <w:r>
              <w:t xml:space="preserve">UA202013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 (S: 99.28%; D: 0.72%)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Phytophthora agathidicida</w:t>
            </w:r>
            <w:r>
              <w:t xml:space="preserve"> </w:t>
            </w:r>
            <w:r>
              <w:t xml:space="preserve">3770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99.86% (S: 99.00%; D: 0.86%)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Phytophthora capsici</w:t>
            </w:r>
            <w:r>
              <w:t xml:space="preserve"> </w:t>
            </w:r>
            <w:r>
              <w:t xml:space="preserve">BYA5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99.43% (S: 96.13%; D: 3.30%)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Phytophthora infestans</w:t>
            </w:r>
            <w:r>
              <w:t xml:space="preserve"> </w:t>
            </w:r>
            <w:r>
              <w:t xml:space="preserve">1306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98.86% (S: 76.33%; D: 22.53%)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Phytophthora plurivora</w:t>
            </w:r>
            <w:r>
              <w:t xml:space="preserve"> </w:t>
            </w:r>
            <w:r>
              <w:t xml:space="preserve">TJ71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99.85% (S: 98.42%; D: 1.43%)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Phytophthora ramorum</w:t>
            </w:r>
            <w:r>
              <w:t xml:space="preserve"> </w:t>
            </w:r>
            <w:r>
              <w:t xml:space="preserve">Pr 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 (S: 97.42%; D: 2.58%)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Phytophthora sojae</w:t>
            </w:r>
            <w:r>
              <w:t xml:space="preserve"> </w:t>
            </w:r>
            <w:r>
              <w:t xml:space="preserve">JS2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 (S: 98.57%; D: 1.43%)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Plasmopara halstedii</w:t>
            </w:r>
            <w:r>
              <w:t xml:space="preserve"> </w:t>
            </w:r>
            <w:r>
              <w:t xml:space="preserve">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98.85% (S: 98.13%; D: 0.72%)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Pythium oligandrum</w:t>
            </w:r>
            <w:r>
              <w:t xml:space="preserve"> </w:t>
            </w:r>
            <w:r>
              <w:t xml:space="preserve">P O1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 (S: 99.86%; D: 0.14%)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2026-06-20T23:55:55Z</dcterms:created>
  <dcterms:modified xsi:type="dcterms:W3CDTF">2026-06-20T23:55:55Z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