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Instructions for </w:t>
      </w:r>
      <w:r>
        <w:rPr>
          <w:b/>
          <w:bCs/>
          <w:i/>
          <w:iCs/>
          <w:sz w:val="24"/>
          <w:szCs w:val="24"/>
        </w:rPr>
        <w:t>PolarSim</w:t>
      </w:r>
    </w:p>
    <w:p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. Introduction</w:t>
      </w:r>
    </w:p>
    <w:p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i/>
          <w:iCs/>
          <w:sz w:val="24"/>
        </w:rPr>
        <w:t>P</w:t>
      </w:r>
      <w:r>
        <w:rPr>
          <w:i/>
          <w:iCs/>
          <w:sz w:val="24"/>
        </w:rPr>
        <w:t xml:space="preserve">olarSim </w:t>
      </w:r>
      <w:r>
        <w:rPr>
          <w:sz w:val="24"/>
        </w:rPr>
        <w:t xml:space="preserve">is a </w:t>
      </w:r>
      <w:r>
        <w:rPr>
          <w:sz w:val="24"/>
          <w:u w:val="single"/>
        </w:rPr>
        <w:t>g</w:t>
      </w:r>
      <w:r>
        <w:rPr>
          <w:sz w:val="24"/>
        </w:rPr>
        <w:t xml:space="preserve">raphical </w:t>
      </w:r>
      <w:r>
        <w:rPr>
          <w:sz w:val="24"/>
          <w:u w:val="single"/>
        </w:rPr>
        <w:t>u</w:t>
      </w:r>
      <w:r>
        <w:rPr>
          <w:sz w:val="24"/>
        </w:rPr>
        <w:t xml:space="preserve">ser </w:t>
      </w:r>
      <w:r>
        <w:rPr>
          <w:sz w:val="24"/>
          <w:u w:val="single"/>
        </w:rPr>
        <w:t>i</w:t>
      </w:r>
      <w:r>
        <w:rPr>
          <w:sz w:val="24"/>
        </w:rPr>
        <w:t xml:space="preserve">nterface (GUI) on </w:t>
      </w:r>
      <w:commentRangeStart w:id="0"/>
      <w:r>
        <w:rPr>
          <w:sz w:val="24"/>
        </w:rPr>
        <w:t>Matlab</w:t>
      </w:r>
      <w:commentRangeEnd w:id="0"/>
      <w:r>
        <w:rPr>
          <w:rStyle w:val="af1"/>
          <w:sz w:val="24"/>
        </w:rPr>
        <w:commentReference w:id="0"/>
      </w:r>
      <w:r>
        <w:rPr>
          <w:sz w:val="24"/>
        </w:rPr>
        <w:t xml:space="preserve"> 2022b for simulating the evolution of </w:t>
      </w:r>
      <w:r>
        <w:rPr>
          <w:rFonts w:hint="eastAsia"/>
          <w:sz w:val="24"/>
        </w:rPr>
        <w:t>c</w:t>
      </w:r>
      <w:r>
        <w:rPr>
          <w:sz w:val="24"/>
        </w:rPr>
        <w:t>ell polarity pattern. Based on reaction-diffusion model, the GUI</w:t>
      </w:r>
      <w:r>
        <w:rPr>
          <w:rFonts w:hint="eastAsia"/>
          <w:sz w:val="24"/>
        </w:rPr>
        <w:t xml:space="preserve"> </w:t>
      </w:r>
      <w:r>
        <w:rPr>
          <w:sz w:val="24"/>
        </w:rPr>
        <w:t>allows users to compute the behaviors of cell polarity networks in different biological systems. All the simulations are test</w:t>
      </w:r>
      <w:r>
        <w:rPr>
          <w:rFonts w:hint="eastAsia"/>
          <w:sz w:val="24"/>
        </w:rPr>
        <w:t>ed</w:t>
      </w:r>
      <w:r>
        <w:rPr>
          <w:sz w:val="24"/>
        </w:rPr>
        <w:t xml:space="preserve"> with an 12th Gen Intel(R) Core(TM) i7-1260P CPU.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. Tutorials</w:t>
      </w:r>
    </w:p>
    <w:p>
      <w:pPr>
        <w:spacing w:line="360" w:lineRule="auto"/>
        <w:rPr>
          <w:color w:val="FF0000"/>
          <w:sz w:val="24"/>
        </w:rPr>
      </w:pPr>
      <w:r>
        <w:rPr>
          <w:rFonts w:hint="eastAsia"/>
          <w:sz w:val="24"/>
        </w:rPr>
        <w:t>·</w:t>
      </w:r>
      <w:r>
        <w:rPr>
          <w:rFonts w:hint="eastAsia"/>
          <w:sz w:val="24"/>
        </w:rPr>
        <w:t xml:space="preserve"> Download</w:t>
      </w:r>
      <w:r>
        <w:rPr>
          <w:sz w:val="24"/>
        </w:rPr>
        <w:t xml:space="preserve"> the folder “PolarSim” from</w:t>
      </w:r>
      <w:r>
        <w:rPr>
          <w:color w:val="FF0000"/>
          <w:sz w:val="24"/>
        </w:rPr>
        <w:t xml:space="preserve"> xxx</w:t>
      </w:r>
    </w:p>
    <w:p>
      <w:pPr>
        <w:pStyle w:val="af3"/>
        <w:numPr>
          <w:ilvl w:val="0"/>
          <w:numId w:val="2"/>
        </w:numPr>
        <w:spacing w:after="0" w:line="360" w:lineRule="auto"/>
        <w:ind w:firstLineChars="0"/>
        <w:rPr>
          <w:sz w:val="24"/>
        </w:rPr>
      </w:pPr>
      <w:r>
        <w:rPr>
          <w:sz w:val="24"/>
        </w:rPr>
        <w:t>Open Matlab under the “PolarSim” folder path and execute script GUI.m. Click “Run” and an interactive interface pops up (</w:t>
      </w:r>
      <w:r>
        <w:rPr>
          <w:color w:val="0070C0"/>
          <w:sz w:val="24"/>
        </w:rPr>
        <w:t>Fig. G1</w:t>
      </w:r>
      <w:r>
        <w:rPr>
          <w:sz w:val="24"/>
        </w:rPr>
        <w:t xml:space="preserve">). </w:t>
      </w:r>
    </w:p>
    <w:p>
      <w:pPr>
        <w:widowControl/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>
      <w:pPr>
        <w:widowControl/>
        <w:spacing w:line="36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6645910" cy="3947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F</w:t>
      </w:r>
      <w:r>
        <w:rPr>
          <w:b/>
          <w:bCs/>
          <w:sz w:val="24"/>
        </w:rPr>
        <w:t>ig. G1.</w:t>
      </w:r>
      <w:r>
        <w:rPr>
          <w:sz w:val="24"/>
        </w:rPr>
        <w:t xml:space="preserve"> Instructions to open the </w:t>
      </w:r>
      <w:r>
        <w:rPr>
          <w:i/>
          <w:iCs/>
          <w:sz w:val="24"/>
        </w:rPr>
        <w:t>PolarSim</w:t>
      </w:r>
      <w:r>
        <w:rPr>
          <w:sz w:val="24"/>
        </w:rPr>
        <w:t xml:space="preserve"> GUI. </w:t>
      </w: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The files in the folder “PolarSim”. </w:t>
      </w:r>
      <w:r>
        <w:rPr>
          <w:rFonts w:hint="eastAsia"/>
          <w:sz w:val="24"/>
        </w:rPr>
        <w:t>②</w:t>
      </w:r>
      <w:r>
        <w:rPr>
          <w:sz w:val="24"/>
        </w:rPr>
        <w:t xml:space="preserve"> Open the Matlab under the path of the “PolarSim” folder and double-click to open “GUI.m”. </w:t>
      </w:r>
      <w:r>
        <w:rPr>
          <w:rFonts w:hint="eastAsia"/>
          <w:sz w:val="24"/>
        </w:rPr>
        <w:t>③</w:t>
      </w:r>
      <w:r>
        <w:rPr>
          <w:sz w:val="24"/>
        </w:rPr>
        <w:t xml:space="preserve"> </w:t>
      </w:r>
      <w:r>
        <w:rPr>
          <w:rFonts w:hint="eastAsia"/>
          <w:sz w:val="24"/>
        </w:rPr>
        <w:t>Click</w:t>
      </w:r>
      <w:r>
        <w:rPr>
          <w:sz w:val="24"/>
        </w:rPr>
        <w:t xml:space="preserve"> “Run” to open the GUI interface </w:t>
      </w:r>
      <w:r>
        <w:rPr>
          <w:i/>
          <w:iCs/>
          <w:sz w:val="24"/>
        </w:rPr>
        <w:t>PolarSim</w:t>
      </w:r>
      <w:r>
        <w:rPr>
          <w:sz w:val="24"/>
        </w:rPr>
        <w:t xml:space="preserve"> shown by </w:t>
      </w:r>
      <w:r>
        <w:rPr>
          <w:rFonts w:hint="eastAsia"/>
          <w:sz w:val="24"/>
        </w:rPr>
        <w:t>④</w:t>
      </w:r>
      <w:r>
        <w:rPr>
          <w:rFonts w:hint="eastAsia"/>
          <w:sz w:val="24"/>
        </w:rPr>
        <w:t>.</w:t>
      </w:r>
    </w:p>
    <w:p>
      <w:pPr>
        <w:spacing w:line="360" w:lineRule="auto"/>
        <w:rPr>
          <w:sz w:val="24"/>
        </w:rPr>
      </w:pPr>
    </w:p>
    <w:p>
      <w:pPr>
        <w:pStyle w:val="af3"/>
        <w:numPr>
          <w:ilvl w:val="0"/>
          <w:numId w:val="2"/>
        </w:numPr>
        <w:spacing w:after="0" w:line="360" w:lineRule="auto"/>
        <w:ind w:firstLineChars="0"/>
        <w:rPr>
          <w:sz w:val="24"/>
        </w:rPr>
      </w:pPr>
      <w:r>
        <w:rPr>
          <w:sz w:val="24"/>
        </w:rPr>
        <w:t>Import the following parameters and it gives out a group of “Pattern_*.mat” files containing pattern information.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1) Import: Network Parameter.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sz w:val="24"/>
        </w:rPr>
        <w:t>We gives out t</w:t>
      </w:r>
      <w:r>
        <w:rPr>
          <w:rFonts w:hint="eastAsia"/>
          <w:sz w:val="24"/>
        </w:rPr>
        <w:t>hree</w:t>
      </w:r>
      <w:r>
        <w:rPr>
          <w:sz w:val="24"/>
        </w:rPr>
        <w:t xml:space="preserve"> examples “Simplified Antagonistic 2_Node Network.xlsx”, “LGL-1 Mutant 4-Node Network.xlsx” and “C. elegans Wild-Type 5-Node Network.xlsx” in the “PolarSim” folder, respectively representing the typical networks in the text (</w:t>
      </w:r>
      <w:r>
        <w:rPr>
          <w:color w:val="0070C0"/>
          <w:sz w:val="24"/>
        </w:rPr>
        <w:t>Fig. G2</w:t>
      </w:r>
      <w:r>
        <w:rPr>
          <w:sz w:val="24"/>
        </w:rPr>
        <w:t>). The excel should follow the format below:</w:t>
      </w:r>
    </w:p>
    <w:p>
      <w:pPr>
        <w:spacing w:line="360" w:lineRule="auto"/>
        <w:rPr>
          <w:sz w:val="24"/>
        </w:rPr>
      </w:pPr>
    </w:p>
    <w:tbl>
      <w:tblPr>
        <w:tblStyle w:val="ae"/>
        <w:tblW w:w="9869" w:type="dxa"/>
        <w:jc w:val="center"/>
        <w:tblLook w:val="04A0" w:firstRow="1" w:lastRow="0" w:firstColumn="1" w:lastColumn="0" w:noHBand="0" w:noVBand="1"/>
      </w:tblPr>
      <w:tblGrid>
        <w:gridCol w:w="973"/>
        <w:gridCol w:w="2722"/>
        <w:gridCol w:w="2950"/>
        <w:gridCol w:w="456"/>
        <w:gridCol w:w="2768"/>
      </w:tblGrid>
      <w:tr>
        <w:trPr>
          <w:trHeight w:val="326"/>
          <w:jc w:val="center"/>
        </w:trPr>
        <w:tc>
          <w:tcPr>
            <w:tcW w:w="973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</w:p>
        </w:tc>
        <w:tc>
          <w:tcPr>
            <w:tcW w:w="2722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N</w:t>
            </w:r>
            <w:r>
              <w:rPr>
                <w:sz w:val="24"/>
                <w:szCs w:val="21"/>
              </w:rPr>
              <w:t>ode A</w:t>
            </w:r>
          </w:p>
        </w:tc>
        <w:tc>
          <w:tcPr>
            <w:tcW w:w="2950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N</w:t>
            </w:r>
            <w:r>
              <w:rPr>
                <w:sz w:val="24"/>
                <w:szCs w:val="21"/>
              </w:rPr>
              <w:t>ode B</w:t>
            </w:r>
          </w:p>
        </w:tc>
        <w:tc>
          <w:tcPr>
            <w:tcW w:w="456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2768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N</w:t>
            </w:r>
            <w:r>
              <w:rPr>
                <w:sz w:val="24"/>
                <w:szCs w:val="21"/>
              </w:rPr>
              <w:t>ode N</w:t>
            </w:r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</w:p>
        </w:tc>
        <w:tc>
          <w:tcPr>
            <w:tcW w:w="2722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L</w:t>
            </w:r>
            <w:r>
              <w:rPr>
                <w:sz w:val="24"/>
                <w:szCs w:val="21"/>
              </w:rPr>
              <w:t>ocation (a or p)/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1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1"/>
                </w:rPr>
                <m:t>]</m:t>
              </m:r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b>
              </m:sSub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b>
              </m:sSub>
            </m:oMath>
          </w:p>
        </w:tc>
        <w:tc>
          <w:tcPr>
            <w:tcW w:w="2950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L</w:t>
            </w:r>
            <w:r>
              <w:rPr>
                <w:sz w:val="24"/>
                <w:szCs w:val="21"/>
              </w:rPr>
              <w:t>ocation (a or p)/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1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1"/>
                </w:rPr>
                <m:t>]</m:t>
              </m:r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b>
              </m:sSub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b>
              </m:sSub>
            </m:oMath>
          </w:p>
        </w:tc>
        <w:tc>
          <w:tcPr>
            <w:tcW w:w="456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2768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L</w:t>
            </w:r>
            <w:r>
              <w:rPr>
                <w:sz w:val="24"/>
                <w:szCs w:val="21"/>
              </w:rPr>
              <w:t>ocation (a or p)/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1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1"/>
                </w:rPr>
                <m:t>]</m:t>
              </m:r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b>
              </m:sSub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b>
              </m:sSub>
            </m:oMath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N</w:t>
            </w:r>
            <w:r>
              <w:rPr>
                <w:sz w:val="24"/>
                <w:szCs w:val="21"/>
              </w:rPr>
              <w:t>ode A</w:t>
            </w:r>
          </w:p>
        </w:tc>
        <w:tc>
          <w:tcPr>
            <w:tcW w:w="2722" w:type="dxa"/>
          </w:tcPr>
          <w:p>
            <w:pPr>
              <w:spacing w:line="360" w:lineRule="auto"/>
              <w:jc w:val="center"/>
              <w:rPr>
                <w:iCs/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</w:p>
        </w:tc>
        <w:tc>
          <w:tcPr>
            <w:tcW w:w="2950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</w:p>
        </w:tc>
        <w:tc>
          <w:tcPr>
            <w:tcW w:w="456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2768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</m:sup>
              </m:sSubSup>
            </m:oMath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N</w:t>
            </w:r>
            <w:r>
              <w:rPr>
                <w:sz w:val="24"/>
                <w:szCs w:val="21"/>
              </w:rPr>
              <w:t>ode B</w:t>
            </w:r>
          </w:p>
        </w:tc>
        <w:tc>
          <w:tcPr>
            <w:tcW w:w="2722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</m:t>
                  </m:r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</w:p>
        </w:tc>
        <w:tc>
          <w:tcPr>
            <w:tcW w:w="2950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</w:p>
        </w:tc>
        <w:tc>
          <w:tcPr>
            <w:tcW w:w="456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2768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</m:t>
                  </m:r>
                </m:sup>
              </m:sSubSup>
            </m:oMath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2722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2950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456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2768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N</w:t>
            </w:r>
            <w:r>
              <w:rPr>
                <w:sz w:val="24"/>
                <w:szCs w:val="21"/>
              </w:rPr>
              <w:t>ode N</w:t>
            </w:r>
          </w:p>
        </w:tc>
        <w:tc>
          <w:tcPr>
            <w:tcW w:w="2722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Ak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</w:p>
        </w:tc>
        <w:tc>
          <w:tcPr>
            <w:tcW w:w="2950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Bk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</w:p>
        </w:tc>
        <w:tc>
          <w:tcPr>
            <w:tcW w:w="456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…</w:t>
            </w:r>
          </w:p>
        </w:tc>
        <w:tc>
          <w:tcPr>
            <w:tcW w:w="2768" w:type="dxa"/>
          </w:tcPr>
          <w:p>
            <w:pPr>
              <w:spacing w:line="360" w:lineRule="auto"/>
              <w:jc w:val="center"/>
              <w:rPr>
                <w:sz w:val="24"/>
                <w:szCs w:val="21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  <w:r>
              <w:rPr>
                <w:sz w:val="24"/>
                <w:szCs w:val="21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1"/>
                    </w:rPr>
                    <m:t>N</m:t>
                  </m:r>
                </m:sup>
              </m:sSubSup>
            </m:oMath>
          </w:p>
        </w:tc>
      </w:tr>
    </w:tbl>
    <w:p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T</w:t>
      </w:r>
      <w:r>
        <w:rPr>
          <w:b/>
          <w:bCs/>
          <w:sz w:val="24"/>
        </w:rPr>
        <w:t>able G1.</w:t>
      </w:r>
      <w:r>
        <w:rPr>
          <w:sz w:val="24"/>
        </w:rPr>
        <w:t xml:space="preserve"> Instructions for the format of Network Parameter. In the first row and column, “Node N” represents the Node name. The second row explains characteristic parameter of each node (</w:t>
      </w:r>
      <w:r>
        <w:rPr>
          <w:i/>
          <w:iCs/>
          <w:sz w:val="24"/>
        </w:rPr>
        <w:t>i.e.</w:t>
      </w:r>
      <w:r>
        <w:rPr>
          <w:sz w:val="24"/>
        </w:rPr>
        <w:t xml:space="preserve"> location, cytoplasmic concentration, basal association rate and dissociation rate). Interaction parameters starts from the third row, second column, and the Row </w:t>
      </w:r>
      <w:r>
        <w:rPr>
          <w:i/>
          <w:iCs/>
          <w:sz w:val="24"/>
        </w:rPr>
        <w:t>i</w:t>
      </w:r>
      <w:r>
        <w:rPr>
          <w:sz w:val="24"/>
        </w:rPr>
        <w:t xml:space="preserve"> and Column </w:t>
      </w:r>
      <w:r>
        <w:rPr>
          <w:i/>
          <w:iCs/>
          <w:sz w:val="24"/>
        </w:rPr>
        <w:t>j</w:t>
      </w:r>
      <w:r>
        <w:rPr>
          <w:sz w:val="24"/>
        </w:rPr>
        <w:t xml:space="preserve"> means the effect from node </w:t>
      </w:r>
      <w:r>
        <w:rPr>
          <w:i/>
          <w:iCs/>
          <w:sz w:val="24"/>
        </w:rPr>
        <w:t>j</w:t>
      </w:r>
      <w:r>
        <w:rPr>
          <w:sz w:val="24"/>
        </w:rPr>
        <w:t xml:space="preserve"> to </w:t>
      </w:r>
      <w:r>
        <w:rPr>
          <w:i/>
          <w:iCs/>
          <w:sz w:val="24"/>
        </w:rPr>
        <w:t>i</w:t>
      </w:r>
      <w:r>
        <w:rPr>
          <w:sz w:val="24"/>
        </w:rPr>
        <w:t xml:space="preserve"> (</w:t>
      </w:r>
      <w:r>
        <w:rPr>
          <w:i/>
          <w:iCs/>
          <w:sz w:val="24"/>
        </w:rPr>
        <w:t>i.e.</w:t>
      </w:r>
      <w:r>
        <w:rPr>
          <w:sz w:val="24"/>
        </w:rPr>
        <w:t xml:space="preserve"> the activation/inhibition pathway). </w:t>
      </w:r>
      <m:oMath>
        <m:sSubSup>
          <m:sSubSupPr>
            <m:ctrlPr>
              <w:rPr>
                <w:rFonts w:ascii="Cambria Math" w:hAnsi="Cambria Math"/>
                <w:iCs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p>
        </m:sSubSup>
      </m:oMath>
      <w:r>
        <w:rPr>
          <w:sz w:val="24"/>
        </w:rPr>
        <w:t xml:space="preserve"> should be set to 0 when no activation is exerted on X from Y; it’s the same with </w:t>
      </w:r>
      <m:oMath>
        <m:sSubSup>
          <m:sSubSupPr>
            <m:ctrlPr>
              <w:rPr>
                <w:rFonts w:ascii="Cambria Math" w:hAnsi="Cambria Math"/>
                <w:iCs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p>
        </m:sSubSup>
      </m:oMath>
      <w:r>
        <w:rPr>
          <w:rFonts w:hint="eastAsia"/>
          <w:iCs/>
          <w:sz w:val="24"/>
        </w:rPr>
        <w:t xml:space="preserve"> </w:t>
      </w:r>
      <w:r>
        <w:rPr>
          <w:iCs/>
          <w:sz w:val="24"/>
        </w:rPr>
        <w:t>to describe absent inhibition.</w:t>
      </w:r>
      <w:r>
        <w:rPr>
          <w:sz w:val="24"/>
        </w:rPr>
        <w:t xml:space="preserve"> See the detailed description of each parameter in </w:t>
      </w:r>
      <w:r>
        <w:rPr>
          <w:color w:val="0070C0"/>
          <w:sz w:val="24"/>
        </w:rPr>
        <w:t>Table G2</w:t>
      </w:r>
      <w:r>
        <w:rPr>
          <w:sz w:val="24"/>
        </w:rPr>
        <w:t>.</w:t>
      </w:r>
    </w:p>
    <w:p>
      <w:pPr>
        <w:spacing w:line="360" w:lineRule="auto"/>
        <w:rPr>
          <w:sz w:val="24"/>
          <w:szCs w:val="21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071"/>
        <w:gridCol w:w="6989"/>
      </w:tblGrid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arameter</w:t>
            </w:r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  <w:r>
              <w:rPr>
                <w:sz w:val="24"/>
              </w:rPr>
              <w:t>iological implication</w:t>
            </w:r>
          </w:p>
        </w:tc>
      </w:tr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ocation</w:t>
            </w:r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“a” represents anterior-located molecular while “p” posterior-located</w:t>
            </w:r>
          </w:p>
        </w:tc>
      </w:tr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rFonts w:cs="Times New Roman"/>
                <w:iCs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[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]</m:t>
                </m:r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The conserved concentration of molecule X in the cell cytosol</w:t>
            </w:r>
          </w:p>
        </w:tc>
      </w:tr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Basal on-rate of molecule X</w:t>
            </w:r>
          </w:p>
        </w:tc>
      </w:tr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Basal off-rate of molecule X</w:t>
            </w:r>
          </w:p>
        </w:tc>
      </w:tr>
      <w:commentRangeStart w:id="1"/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rFonts w:cs="Times New Roman"/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X</m:t>
                    </m:r>
                  </m:sup>
                </m:sSubSup>
                <w:commentRangeEnd w:id="1"/>
                <m:r>
                  <m:rPr>
                    <m:sty m:val="p"/>
                  </m:rPr>
                  <w:rPr>
                    <w:rStyle w:val="af1"/>
                    <w:rFonts w:ascii="Cambria Math" w:hAnsi="Cambria Math"/>
                    <w:sz w:val="24"/>
                  </w:rPr>
                  <w:commentReference w:id="1"/>
                </m:r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Activation pathway response from Y to X</w:t>
            </w:r>
          </w:p>
        </w:tc>
      </w:tr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sup>
                </m:sSubSup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Activation intensity from Y to X</w:t>
            </w:r>
          </w:p>
        </w:tc>
      </w:tr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Yq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sup>
                </m:sSubSup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he Hill coefficient of activation from Y to X</w:t>
            </w:r>
          </w:p>
        </w:tc>
      </w:tr>
      <w:commentRangeStart w:id="2"/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rFonts w:cs="Times New Roman"/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sup>
                </m:sSubSup>
                <w:commentRangeEnd w:id="2"/>
                <m:r>
                  <m:rPr>
                    <m:sty m:val="p"/>
                  </m:rPr>
                  <w:rPr>
                    <w:rStyle w:val="af1"/>
                    <w:rFonts w:ascii="Cambria Math" w:hAnsi="Cambria Math"/>
                    <w:sz w:val="24"/>
                  </w:rPr>
                  <w:commentReference w:id="2"/>
                </m:r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Inhibition pathway response from Y to X</w:t>
            </w:r>
          </w:p>
        </w:tc>
      </w:tr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sup>
                </m:sSubSup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Inhibition intensity from Y to X</w:t>
            </w:r>
          </w:p>
        </w:tc>
      </w:tr>
      <w:tr>
        <w:trPr>
          <w:jc w:val="center"/>
        </w:trPr>
        <w:tc>
          <w:tcPr>
            <w:tcW w:w="212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sup>
                </m:sSubSup>
              </m:oMath>
            </m:oMathPara>
          </w:p>
        </w:tc>
        <w:tc>
          <w:tcPr>
            <w:tcW w:w="7371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he Hill coefficient of inhibition from Y to X</w:t>
            </w:r>
          </w:p>
        </w:tc>
      </w:tr>
    </w:tbl>
    <w:p>
      <w:pPr>
        <w:spacing w:line="360" w:lineRule="auto"/>
        <w:jc w:val="left"/>
        <w:rPr>
          <w:sz w:val="24"/>
        </w:rPr>
      </w:pPr>
      <w:r>
        <w:rPr>
          <w:rFonts w:hint="eastAsia"/>
          <w:b/>
          <w:bCs/>
          <w:sz w:val="24"/>
        </w:rPr>
        <w:t>T</w:t>
      </w:r>
      <w:r>
        <w:rPr>
          <w:b/>
          <w:bCs/>
          <w:sz w:val="24"/>
        </w:rPr>
        <w:t>able G2.</w:t>
      </w:r>
      <w:r>
        <w:rPr>
          <w:sz w:val="24"/>
        </w:rPr>
        <w:t xml:space="preserve"> The symbols and description of parameters used in </w:t>
      </w:r>
      <w:r>
        <w:rPr>
          <w:color w:val="0070C0"/>
          <w:sz w:val="24"/>
        </w:rPr>
        <w:t>Table G1</w:t>
      </w:r>
      <w:r>
        <w:rPr>
          <w:sz w:val="24"/>
        </w:rPr>
        <w:t>.</w:t>
      </w:r>
    </w:p>
    <w:p>
      <w:pPr>
        <w:spacing w:line="360" w:lineRule="auto"/>
        <w:rPr>
          <w:sz w:val="24"/>
        </w:rPr>
      </w:pPr>
    </w:p>
    <w:p>
      <w:pPr>
        <w:widowControl/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6645910" cy="3686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F</w:t>
      </w:r>
      <w:r>
        <w:rPr>
          <w:b/>
          <w:bCs/>
          <w:sz w:val="24"/>
        </w:rPr>
        <w:t>ig. G2.</w:t>
      </w:r>
      <w:r>
        <w:rPr>
          <w:sz w:val="24"/>
        </w:rPr>
        <w:t xml:space="preserve"> Examples of network parameter. (a) “Simplified Antagonistic 2_Node Network.xlsx” lists the parameters in </w:t>
      </w:r>
      <w:r>
        <w:rPr>
          <w:color w:val="0070C0"/>
          <w:sz w:val="24"/>
        </w:rPr>
        <w:t>Fig. 1</w:t>
      </w:r>
      <w:r>
        <w:rPr>
          <w:sz w:val="24"/>
        </w:rPr>
        <w:t xml:space="preserve">a. (b) “C. elegans Wild-Type 5-Node Network.xlsx” lists the benchmark point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γ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=0.039,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 xml:space="preserve">=1.55,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=0.05</m:t>
            </m:r>
          </m:e>
        </m:d>
      </m:oMath>
      <w:r>
        <w:rPr>
          <w:sz w:val="24"/>
        </w:rPr>
        <w:t xml:space="preserve"> in </w:t>
      </w:r>
      <w:r>
        <w:rPr>
          <w:color w:val="0070C0"/>
          <w:sz w:val="24"/>
        </w:rPr>
        <w:t>Fig. 6</w:t>
      </w:r>
      <w:r>
        <w:rPr>
          <w:sz w:val="24"/>
        </w:rPr>
        <w:t>b. (c) “LGL-1 Mutant 4-Node Network.xlsx” lists the parameter as (b) but knocking down the node [L].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2) Import: Cell Length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sz w:val="24"/>
        </w:rPr>
        <w:t xml:space="preserve">We take “0.5” as an example. Any positive number is allowed in this box. The effects of cell length on polarity pattern are discussed in </w:t>
      </w:r>
      <w:r>
        <w:rPr>
          <w:color w:val="0070C0"/>
          <w:sz w:val="24"/>
        </w:rPr>
        <w:t>Fig. G6</w:t>
      </w:r>
      <w:r>
        <w:rPr>
          <w:sz w:val="24"/>
        </w:rPr>
        <w:t>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3) Import: Output Folder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G</w:t>
      </w:r>
      <w:r>
        <w:rPr>
          <w:sz w:val="24"/>
        </w:rPr>
        <w:t>ive a folder name for storing the output results (</w:t>
      </w:r>
      <w:r>
        <w:rPr>
          <w:i/>
          <w:iCs/>
          <w:sz w:val="24"/>
        </w:rPr>
        <w:t>e.g.</w:t>
      </w:r>
      <w:r>
        <w:rPr>
          <w:sz w:val="24"/>
        </w:rPr>
        <w:t xml:space="preserve"> “Output 2-Node”)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4) Setting: Time for Simulation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sz w:val="24"/>
        </w:rPr>
        <w:t>Simulation duration “500” is used in the text. Any positive number is allowed in this box.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5) Setting: Time Step Length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ecommanded use “1”. Larger values are not recommended to avoid time failure, and try smaller step length while meeting integration tolerances.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6) Setting: Saving Interval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sz w:val="24"/>
        </w:rPr>
        <w:t>It must be an integer multiple of time step length. Remember to save the timepoint to plot the pattern.</w:t>
      </w:r>
    </w:p>
    <w:p>
      <w:pPr>
        <w:spacing w:line="360" w:lineRule="auto"/>
        <w:rPr>
          <w:sz w:val="24"/>
        </w:rPr>
      </w:pPr>
    </w:p>
    <w:p>
      <w:pPr>
        <w:pStyle w:val="af3"/>
        <w:numPr>
          <w:ilvl w:val="0"/>
          <w:numId w:val="2"/>
        </w:numPr>
        <w:spacing w:after="0" w:line="360" w:lineRule="auto"/>
        <w:ind w:firstLineChars="0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lick “Run” in the interface, and check its status on the progress bar (</w:t>
      </w:r>
      <w:r>
        <w:rPr>
          <w:color w:val="0070C0"/>
          <w:sz w:val="24"/>
        </w:rPr>
        <w:t>Fig. G5</w:t>
      </w:r>
      <w:r>
        <w:rPr>
          <w:sz w:val="24"/>
        </w:rPr>
        <w:t xml:space="preserve">a). A folder named by “Import: Output Folder” is generated in the current path to store the output “Pattern_*.mat” data containing the node name, location and pattern, where “*” denotes the </w:t>
      </w:r>
      <w:r>
        <w:rPr>
          <w:i/>
          <w:iCs/>
          <w:sz w:val="24"/>
        </w:rPr>
        <w:t>in silico</w:t>
      </w:r>
      <w:r>
        <w:rPr>
          <w:sz w:val="24"/>
        </w:rPr>
        <w:t xml:space="preserve"> time corresponding to each file (</w:t>
      </w:r>
      <w:r>
        <w:rPr>
          <w:color w:val="0070C0"/>
          <w:sz w:val="24"/>
        </w:rPr>
        <w:t>Fig. G3</w:t>
      </w:r>
      <w:r>
        <w:rPr>
          <w:sz w:val="24"/>
        </w:rPr>
        <w:t>a, right).</w:t>
      </w:r>
    </w:p>
    <w:p>
      <w:pPr>
        <w:pStyle w:val="af3"/>
        <w:numPr>
          <w:ilvl w:val="0"/>
          <w:numId w:val="2"/>
        </w:numPr>
        <w:spacing w:after="0" w:line="360" w:lineRule="auto"/>
        <w:ind w:firstLineChars="0"/>
        <w:rPr>
          <w:sz w:val="24"/>
        </w:rPr>
      </w:pPr>
      <w:r>
        <w:rPr>
          <w:rFonts w:hint="eastAsia"/>
          <w:sz w:val="24"/>
        </w:rPr>
        <w:t>I</w:t>
      </w:r>
      <w:r>
        <w:rPr>
          <w:sz w:val="24"/>
        </w:rPr>
        <w:t xml:space="preserve">mport the file pathway in the box “Import: Pattern” outputted by </w:t>
      </w:r>
      <w:r>
        <w:rPr>
          <w:i/>
          <w:iCs/>
          <w:sz w:val="24"/>
        </w:rPr>
        <w:t>PolarSim</w:t>
      </w:r>
      <w:r>
        <w:rPr>
          <w:sz w:val="24"/>
        </w:rPr>
        <w:t>.</w:t>
      </w:r>
    </w:p>
    <w:p>
      <w:pPr>
        <w:pStyle w:val="af3"/>
        <w:numPr>
          <w:ilvl w:val="0"/>
          <w:numId w:val="2"/>
        </w:numPr>
        <w:spacing w:after="0" w:line="360" w:lineRule="auto"/>
        <w:ind w:firstLineChars="0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lick “Plot” and a figure comes out to show the pattern and the position of the transition plane appears in the box “Output: Transition Plane”.</w:t>
      </w:r>
    </w:p>
    <w:p>
      <w:pPr>
        <w:pStyle w:val="af3"/>
        <w:numPr>
          <w:ilvl w:val="0"/>
          <w:numId w:val="2"/>
        </w:numPr>
        <w:spacing w:after="0" w:line="360" w:lineRule="auto"/>
        <w:ind w:firstLineChars="0"/>
        <w:rPr>
          <w:sz w:val="24"/>
        </w:rPr>
      </w:pPr>
      <w:r>
        <w:rPr>
          <w:rFonts w:hint="eastAsia"/>
          <w:sz w:val="24"/>
        </w:rPr>
        <w:t>I</w:t>
      </w:r>
      <w:r>
        <w:rPr>
          <w:sz w:val="24"/>
        </w:rPr>
        <w:t xml:space="preserve">mport the file pathway in the box “Import: Start Time” and “Import: End Time” outputted by </w:t>
      </w:r>
      <w:r>
        <w:rPr>
          <w:i/>
          <w:iCs/>
          <w:sz w:val="24"/>
        </w:rPr>
        <w:t>PolarSim</w:t>
      </w:r>
      <w:r>
        <w:rPr>
          <w:sz w:val="24"/>
        </w:rPr>
        <w:t>.</w:t>
      </w:r>
    </w:p>
    <w:p>
      <w:pPr>
        <w:pStyle w:val="af3"/>
        <w:numPr>
          <w:ilvl w:val="0"/>
          <w:numId w:val="2"/>
        </w:numPr>
        <w:spacing w:after="0" w:line="360" w:lineRule="auto"/>
        <w:ind w:firstLineChars="0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lick “Run” and the mean interface velocity between two input time points is calculated in the box “Output: Interface velocity”.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3. Examples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·</w:t>
      </w:r>
      <w:r>
        <w:rPr>
          <w:rFonts w:hint="eastAsia"/>
          <w:sz w:val="24"/>
        </w:rPr>
        <w:t xml:space="preserve"> </w:t>
      </w:r>
      <w:r>
        <w:rPr>
          <w:b/>
          <w:bCs/>
          <w:sz w:val="24"/>
        </w:rPr>
        <w:t>Example 1</w:t>
      </w:r>
      <w:r>
        <w:rPr>
          <w:sz w:val="24"/>
        </w:rPr>
        <w:t xml:space="preserve">: Simplified Antagonistic 2-Node Network simulation as </w:t>
      </w:r>
      <w:r>
        <w:rPr>
          <w:color w:val="0070C0"/>
          <w:sz w:val="24"/>
        </w:rPr>
        <w:t>Fig. 1</w:t>
      </w:r>
      <w:r>
        <w:rPr>
          <w:sz w:val="24"/>
        </w:rPr>
        <w:t xml:space="preserve">a. 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sz w:val="24"/>
        </w:rPr>
        <w:t>(1) Input the following parameters: “.\Simplified Antagonistic 2-Node Network.xlsx” in “Import: Network Parameter”; “0.5” in “Import: Cell Length”; “Output 2-Node” in “Import: Output Folder”; “500” in “Setting: Time for Simulation”; “1” in “Setting: Time Step Length” and “100” in “Setting: Saving Interval”.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2) Click “Run”, and 6 “Pattern_*.mat” files are saved under the subfolder “Output 2-Node” (</w:t>
      </w:r>
      <w:r>
        <w:rPr>
          <w:color w:val="0070C0"/>
          <w:sz w:val="24"/>
        </w:rPr>
        <w:t>Fig. G3</w:t>
      </w:r>
      <w:r>
        <w:rPr>
          <w:sz w:val="24"/>
        </w:rPr>
        <w:t xml:space="preserve">a, </w:t>
      </w:r>
      <w:r>
        <w:rPr>
          <w:rFonts w:hint="eastAsia"/>
          <w:sz w:val="24"/>
        </w:rPr>
        <w:t>①</w:t>
      </w:r>
      <w:r>
        <w:rPr>
          <w:sz w:val="24"/>
        </w:rPr>
        <w:t>-</w:t>
      </w:r>
      <w:r>
        <w:rPr>
          <w:rFonts w:hint="eastAsia"/>
          <w:sz w:val="24"/>
        </w:rPr>
        <w:t>③</w:t>
      </w:r>
      <w:r>
        <w:rPr>
          <w:sz w:val="24"/>
        </w:rPr>
        <w:t>).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3) Input “.\Output 2-Node\Pattern_500.mat” in the box “Import: Pattern”, and a figure of 2-node antagonistic network at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>appears</w:t>
      </w:r>
      <w:r>
        <w:rPr>
          <w:rFonts w:hint="eastAsia"/>
          <w:sz w:val="24"/>
        </w:rPr>
        <w:t>.</w:t>
      </w:r>
      <w:r>
        <w:rPr>
          <w:sz w:val="24"/>
        </w:rPr>
        <w:t xml:space="preserve"> The position of the transition plane </w:t>
      </w:r>
      <m:oMath>
        <m:r>
          <w:rPr>
            <w:rFonts w:ascii="Cambria Math" w:hAnsi="Cambria Math"/>
            <w:sz w:val="24"/>
          </w:rPr>
          <m:t>x=0.00252525</m:t>
        </m:r>
      </m:oMath>
      <w:r>
        <w:rPr>
          <w:sz w:val="24"/>
        </w:rPr>
        <w:t xml:space="preserve"> is calculated in the box “Output: Transition Plane” (</w:t>
      </w:r>
      <w:r>
        <w:rPr>
          <w:color w:val="0070C0"/>
          <w:sz w:val="24"/>
        </w:rPr>
        <w:t>Fig. G3</w:t>
      </w:r>
      <w:r>
        <w:rPr>
          <w:sz w:val="24"/>
        </w:rPr>
        <w:t xml:space="preserve">a, </w:t>
      </w:r>
      <w:r>
        <w:rPr>
          <w:rFonts w:hint="eastAsia"/>
          <w:sz w:val="24"/>
        </w:rPr>
        <w:t>④</w:t>
      </w:r>
      <w:r>
        <w:rPr>
          <w:sz w:val="24"/>
        </w:rPr>
        <w:t>-</w:t>
      </w:r>
      <w:r>
        <w:rPr>
          <w:rFonts w:hint="eastAsia"/>
          <w:sz w:val="24"/>
        </w:rPr>
        <w:t>⑥</w:t>
      </w:r>
      <w:r>
        <w:rPr>
          <w:sz w:val="24"/>
        </w:rPr>
        <w:t>).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4) Input “.\Output 2-Node\Pattern_300.mat” in the box “Import: Start Time” and “.\Output 2-Node\Pattern_500.mat” in the box “Import: End Time”, and the mean interface velocity between </w:t>
      </w:r>
      <m:oMath>
        <m:r>
          <w:rPr>
            <w:rFonts w:ascii="Cambria Math" w:hAnsi="Cambria Math"/>
            <w:sz w:val="24"/>
          </w:rPr>
          <m:t>t=300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and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is calculated in the box “Output: Interface </w:t>
      </w:r>
      <w:r>
        <w:rPr>
          <w:rFonts w:hint="eastAsia"/>
          <w:sz w:val="24"/>
        </w:rPr>
        <w:t>Velocity</w:t>
      </w:r>
      <w:r>
        <w:rPr>
          <w:sz w:val="24"/>
        </w:rPr>
        <w:t>” (</w:t>
      </w:r>
      <w:r>
        <w:rPr>
          <w:color w:val="0070C0"/>
          <w:sz w:val="24"/>
        </w:rPr>
        <w:t>Fig. G3</w:t>
      </w:r>
      <w:r>
        <w:rPr>
          <w:sz w:val="24"/>
        </w:rPr>
        <w:t xml:space="preserve">a, </w:t>
      </w:r>
      <w:r>
        <w:rPr>
          <w:rFonts w:hint="eastAsia"/>
          <w:sz w:val="24"/>
        </w:rPr>
        <w:t>⑦</w:t>
      </w:r>
      <w:r>
        <w:rPr>
          <w:sz w:val="24"/>
        </w:rPr>
        <w:t>-</w:t>
      </w:r>
      <w:r>
        <w:rPr>
          <w:rFonts w:hint="eastAsia"/>
          <w:sz w:val="24"/>
        </w:rPr>
        <w:t>⑨</w:t>
      </w:r>
      <w:r>
        <w:rPr>
          <w:sz w:val="24"/>
        </w:rPr>
        <w:t>). The 2-node network approaches a stable polarized pattern with interface velocity being 0.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·</w:t>
      </w:r>
      <w:r>
        <w:rPr>
          <w:rFonts w:hint="eastAsia"/>
          <w:sz w:val="24"/>
        </w:rPr>
        <w:t xml:space="preserve"> </w:t>
      </w:r>
      <w:r>
        <w:rPr>
          <w:b/>
          <w:bCs/>
          <w:sz w:val="24"/>
        </w:rPr>
        <w:t>Example 2</w:t>
      </w:r>
      <w:r>
        <w:rPr>
          <w:sz w:val="24"/>
        </w:rPr>
        <w:t xml:space="preserve">: </w:t>
      </w:r>
      <w:r>
        <w:rPr>
          <w:rFonts w:hint="eastAsia"/>
          <w:sz w:val="24"/>
        </w:rPr>
        <w:t>C.</w:t>
      </w:r>
      <w:r>
        <w:rPr>
          <w:sz w:val="24"/>
        </w:rPr>
        <w:t xml:space="preserve"> elegans </w:t>
      </w:r>
      <w:r>
        <w:rPr>
          <w:rFonts w:hint="eastAsia"/>
          <w:sz w:val="24"/>
        </w:rPr>
        <w:t>Wild-Type</w:t>
      </w:r>
      <w:r>
        <w:rPr>
          <w:sz w:val="24"/>
        </w:rPr>
        <w:t xml:space="preserve"> 5-Node Network simulation as</w:t>
      </w:r>
      <w:r>
        <w:rPr>
          <w:color w:val="0070C0"/>
          <w:sz w:val="24"/>
        </w:rPr>
        <w:t xml:space="preserve"> Fig. 6</w:t>
      </w:r>
      <w:r>
        <w:rPr>
          <w:sz w:val="24"/>
        </w:rPr>
        <w:t>b.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sz w:val="24"/>
        </w:rPr>
        <w:t xml:space="preserve">(1) Input the following parameters: “.\C. elegans </w:t>
      </w:r>
      <w:r>
        <w:rPr>
          <w:rFonts w:hint="eastAsia"/>
          <w:sz w:val="24"/>
        </w:rPr>
        <w:t>Wild</w:t>
      </w:r>
      <w:r>
        <w:rPr>
          <w:sz w:val="24"/>
        </w:rPr>
        <w:t>-Type 5-Node Network.xlsx” in “Import: Network Parameter”; “0.5” in “Import: Cell Length”; “Output 5-Node” in “Import: Output Folder”; “500” in “Setting: Time for Simulation”; “1” in “Setting: Time Step Length” and “100” in “Setting: Saving Interval” (</w:t>
      </w:r>
      <w:r>
        <w:rPr>
          <w:color w:val="0070C0"/>
          <w:sz w:val="24"/>
        </w:rPr>
        <w:t>Fig. G3</w:t>
      </w:r>
      <w:r>
        <w:rPr>
          <w:sz w:val="24"/>
        </w:rPr>
        <w:t xml:space="preserve">b, </w:t>
      </w:r>
      <w:r>
        <w:rPr>
          <w:rFonts w:hint="eastAsia"/>
          <w:sz w:val="24"/>
        </w:rPr>
        <w:t>①</w:t>
      </w:r>
      <w:r>
        <w:rPr>
          <w:sz w:val="24"/>
        </w:rPr>
        <w:t>-</w:t>
      </w:r>
      <w:r>
        <w:rPr>
          <w:rFonts w:hint="eastAsia"/>
          <w:sz w:val="24"/>
        </w:rPr>
        <w:t>③</w:t>
      </w:r>
      <w:r>
        <w:rPr>
          <w:sz w:val="24"/>
        </w:rPr>
        <w:t>).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2) Click “Run”, and 6 “Pattern_*.mat” files are saved under the subfolder “Output 5-Node” (</w:t>
      </w:r>
      <w:r>
        <w:rPr>
          <w:color w:val="0070C0"/>
          <w:sz w:val="24"/>
        </w:rPr>
        <w:t>Fig. G4</w:t>
      </w:r>
      <w:r>
        <w:rPr>
          <w:sz w:val="24"/>
        </w:rPr>
        <w:t>b).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3) Input “.\Output 5-Node\Pattern_500.mat” in the box “Import: Pattern”, and a figure of 5-node network at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appears. The position of the transition plane </w:t>
      </w:r>
      <m:oMath>
        <m:r>
          <w:rPr>
            <w:rFonts w:ascii="Cambria Math" w:hAnsi="Cambria Math"/>
            <w:sz w:val="24"/>
          </w:rPr>
          <m:t>x=-0.0176768</m:t>
        </m:r>
      </m:oMath>
      <w:r>
        <w:rPr>
          <w:sz w:val="24"/>
        </w:rPr>
        <w:t xml:space="preserve"> is calculated in the box “Output: Transition Plane” (</w:t>
      </w:r>
      <w:r>
        <w:rPr>
          <w:color w:val="0070C0"/>
          <w:sz w:val="24"/>
        </w:rPr>
        <w:t>Fig. G3</w:t>
      </w:r>
      <w:r>
        <w:rPr>
          <w:sz w:val="24"/>
        </w:rPr>
        <w:t xml:space="preserve">b, </w:t>
      </w:r>
      <w:r>
        <w:rPr>
          <w:rFonts w:hint="eastAsia"/>
          <w:sz w:val="24"/>
        </w:rPr>
        <w:t>④</w:t>
      </w:r>
      <w:r>
        <w:rPr>
          <w:sz w:val="24"/>
        </w:rPr>
        <w:t>-</w:t>
      </w:r>
      <w:r>
        <w:rPr>
          <w:rFonts w:hint="eastAsia"/>
          <w:sz w:val="24"/>
        </w:rPr>
        <w:t>⑥</w:t>
      </w:r>
      <w:r>
        <w:rPr>
          <w:sz w:val="24"/>
        </w:rPr>
        <w:t>).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4) Input “.\Output 5-Node\Pattern_300.mat” in the box “Import: Start Time” and “.\Output 5-Node\Pattern_500.mat” in the box “Import: End Time”, and the mean interface velocity between </w:t>
      </w:r>
      <m:oMath>
        <m:r>
          <w:rPr>
            <w:rFonts w:ascii="Cambria Math" w:hAnsi="Cambria Math"/>
            <w:sz w:val="24"/>
          </w:rPr>
          <m:t>t=300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and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is calculated in the box “Output: Interface </w:t>
      </w:r>
      <w:r>
        <w:rPr>
          <w:rFonts w:hint="eastAsia"/>
          <w:sz w:val="24"/>
        </w:rPr>
        <w:t>Velocity</w:t>
      </w:r>
      <w:r>
        <w:rPr>
          <w:sz w:val="24"/>
        </w:rPr>
        <w:t>” (</w:t>
      </w:r>
      <w:r>
        <w:rPr>
          <w:color w:val="0070C0"/>
          <w:sz w:val="24"/>
        </w:rPr>
        <w:t>Fig. G3</w:t>
      </w:r>
      <w:r>
        <w:rPr>
          <w:sz w:val="24"/>
        </w:rPr>
        <w:t xml:space="preserve">b, </w:t>
      </w:r>
      <w:r>
        <w:rPr>
          <w:rFonts w:hint="eastAsia"/>
          <w:sz w:val="24"/>
        </w:rPr>
        <w:t>⑦</w:t>
      </w:r>
      <w:r>
        <w:rPr>
          <w:sz w:val="24"/>
        </w:rPr>
        <w:t>-</w:t>
      </w:r>
      <w:r>
        <w:rPr>
          <w:rFonts w:hint="eastAsia"/>
          <w:sz w:val="24"/>
        </w:rPr>
        <w:t>⑨</w:t>
      </w:r>
      <w:r>
        <w:rPr>
          <w:sz w:val="24"/>
        </w:rPr>
        <w:t xml:space="preserve">). The 5-node network approaches a stable polarized pattern with interface </w:t>
      </w:r>
      <w:r>
        <w:rPr>
          <w:sz w:val="24"/>
        </w:rPr>
        <w:lastRenderedPageBreak/>
        <w:t>velocity being 0.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·</w:t>
      </w:r>
      <w:r>
        <w:rPr>
          <w:rFonts w:hint="eastAsia"/>
          <w:sz w:val="24"/>
        </w:rPr>
        <w:t xml:space="preserve"> </w:t>
      </w:r>
      <w:r>
        <w:rPr>
          <w:b/>
          <w:bCs/>
          <w:sz w:val="24"/>
        </w:rPr>
        <w:t>Example 3</w:t>
      </w:r>
      <w:r>
        <w:rPr>
          <w:sz w:val="24"/>
        </w:rPr>
        <w:t xml:space="preserve">: LGL-1 Mutant 4-Node Network, Originated from the </w:t>
      </w:r>
      <w:r>
        <w:rPr>
          <w:rFonts w:hint="eastAsia"/>
          <w:sz w:val="24"/>
        </w:rPr>
        <w:t>C.</w:t>
      </w:r>
      <w:r>
        <w:rPr>
          <w:sz w:val="24"/>
        </w:rPr>
        <w:t xml:space="preserve"> elegans </w:t>
      </w:r>
      <w:r>
        <w:rPr>
          <w:rFonts w:hint="eastAsia"/>
          <w:sz w:val="24"/>
        </w:rPr>
        <w:t>Wild-Type</w:t>
      </w:r>
      <w:r>
        <w:rPr>
          <w:sz w:val="24"/>
        </w:rPr>
        <w:t xml:space="preserve"> 5-Node Network but knocking down [L].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sz w:val="24"/>
        </w:rPr>
        <w:t>(1) Input the following parameters: “.\LGL-1 Mutant 4-Node Network.xlsx” in “Import: Network Parameter”; “0.5” in “Import: Cell Length”; “Output 4-Node” in “Import: Output Folder”; “1000” in “Setting: Time for Simulation”; “1” in “Setting: Time Step Length” and “100” in “Setting: Saving Interval” (</w:t>
      </w:r>
      <w:r>
        <w:rPr>
          <w:color w:val="0070C0"/>
          <w:sz w:val="24"/>
        </w:rPr>
        <w:t>Fig. G4</w:t>
      </w:r>
      <w:r>
        <w:rPr>
          <w:sz w:val="24"/>
        </w:rPr>
        <w:t>a).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2) Click “Run”, and 11 “Pattern_*.mat” files are saved under the subfolder “Output 4-Node”.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3) Input “.\Output 4-Node\Pattern_500.mat” in the box “Import: Pattern”, and a figure of 4-node network at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appears with the transition plane close to posterior pole. The position of the transition plane </w:t>
      </w:r>
      <m:oMath>
        <m:r>
          <w:rPr>
            <w:rFonts w:ascii="Cambria Math" w:hAnsi="Cambria Math"/>
            <w:sz w:val="24"/>
          </w:rPr>
          <m:t>x=0.207071</m:t>
        </m:r>
      </m:oMath>
      <w:r>
        <w:rPr>
          <w:sz w:val="24"/>
        </w:rPr>
        <w:t xml:space="preserve"> is calculated in the box “Output: Transition Plane” (</w:t>
      </w:r>
      <w:r>
        <w:rPr>
          <w:color w:val="0070C0"/>
          <w:sz w:val="24"/>
        </w:rPr>
        <w:t>Fig. G4</w:t>
      </w:r>
      <w:r>
        <w:rPr>
          <w:sz w:val="24"/>
        </w:rPr>
        <w:t>a).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4) Input “.\Output 4-Node\Pattern_300.mat” in the box “Import: Start Time” and “.\Output 4-Node\Pattern_500.mat” in the box “Import: End Time”, and the mean interface velocity between </w:t>
      </w:r>
      <m:oMath>
        <m:r>
          <w:rPr>
            <w:rFonts w:ascii="Cambria Math" w:hAnsi="Cambria Math"/>
            <w:sz w:val="24"/>
          </w:rPr>
          <m:t>t=300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and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is calculated in the box “Output: Interface </w:t>
      </w:r>
      <w:r>
        <w:rPr>
          <w:rFonts w:hint="eastAsia"/>
          <w:sz w:val="24"/>
        </w:rPr>
        <w:t>Velocity</w:t>
      </w:r>
      <w:r>
        <w:rPr>
          <w:sz w:val="24"/>
        </w:rPr>
        <w:t>” (</w:t>
      </w:r>
      <w:r>
        <w:rPr>
          <w:color w:val="0070C0"/>
          <w:sz w:val="24"/>
        </w:rPr>
        <w:t>Fig. G4</w:t>
      </w:r>
      <w:r>
        <w:rPr>
          <w:sz w:val="24"/>
        </w:rPr>
        <w:t xml:space="preserve">a). The interface of 4-node network keeps moving posteriorly with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=0.000429293</m:t>
        </m:r>
      </m:oMath>
      <w:r>
        <w:rPr>
          <w:sz w:val="24"/>
        </w:rPr>
        <w:t>.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3) Input “.\Output 4-Node\Pattern_1000.mat” in the box “Import: Pattern”, and a figure of 4-node network at </w:t>
      </w:r>
      <m:oMath>
        <m:r>
          <w:rPr>
            <w:rFonts w:ascii="Cambria Math" w:hAnsi="Cambria Math"/>
            <w:sz w:val="24"/>
          </w:rPr>
          <m:t>t=1000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>appears with the transition plane close to posterior pole. “Transition plane doesn’t exist” appears in the box “Output: Transition Plane” as the pattern reaches a homogeneous state dominated by [A] and [C] (</w:t>
      </w:r>
      <w:r>
        <w:rPr>
          <w:color w:val="0070C0"/>
          <w:sz w:val="24"/>
        </w:rPr>
        <w:t>Fig. G4</w:t>
      </w:r>
      <w:r>
        <w:rPr>
          <w:sz w:val="24"/>
        </w:rPr>
        <w:t xml:space="preserve">b). </w:t>
      </w:r>
    </w:p>
    <w:p>
      <w:pPr>
        <w:pStyle w:val="af3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4) Input “.\Output 4-Node\Pattern_800.mat” in the box “Import: Start Time” and “.\Output 4-Node\Pattern_1000.mat” in the box “Import: End Time”. The mean interface velocity between </w:t>
      </w:r>
      <m:oMath>
        <m:r>
          <w:rPr>
            <w:rFonts w:ascii="Cambria Math" w:hAnsi="Cambria Math"/>
            <w:sz w:val="24"/>
          </w:rPr>
          <m:t>t=300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and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>doesn’t exist with a string “</w:t>
      </w:r>
      <w:r>
        <w:rPr>
          <w:rFonts w:hint="eastAsia"/>
          <w:sz w:val="24"/>
        </w:rPr>
        <w:t>It</w:t>
      </w:r>
      <w:r>
        <w:rPr>
          <w:sz w:val="24"/>
        </w:rPr>
        <w:t xml:space="preserve"> isn’t a polarized pattern” in the box “Output: Interface Velocity” appearing to hint (</w:t>
      </w:r>
      <w:r>
        <w:rPr>
          <w:color w:val="0070C0"/>
          <w:sz w:val="24"/>
        </w:rPr>
        <w:t>Fig. G4</w:t>
      </w:r>
      <w:r>
        <w:rPr>
          <w:sz w:val="24"/>
        </w:rPr>
        <w:t>b). Note that the interface velocity can’t be calculated when either pattern at start time or end time is homogeneous.</w:t>
      </w:r>
    </w:p>
    <w:p>
      <w:pPr>
        <w:widowControl/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>
      <w:pPr>
        <w:widowControl/>
        <w:spacing w:line="36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687034" cy="3583603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66" cy="358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F</w:t>
      </w:r>
      <w:r>
        <w:rPr>
          <w:b/>
          <w:bCs/>
          <w:color w:val="000000" w:themeColor="text1"/>
          <w:sz w:val="24"/>
        </w:rPr>
        <w:t>ig. G3.</w:t>
      </w:r>
      <w:r>
        <w:rPr>
          <w:color w:val="000000" w:themeColor="text1"/>
          <w:sz w:val="24"/>
        </w:rPr>
        <w:t xml:space="preserve"> The results of Example 1&amp;2 of </w:t>
      </w:r>
      <w:r>
        <w:rPr>
          <w:i/>
          <w:iCs/>
          <w:color w:val="000000" w:themeColor="text1"/>
          <w:sz w:val="24"/>
        </w:rPr>
        <w:t>PolarSim</w:t>
      </w:r>
      <w:r>
        <w:rPr>
          <w:color w:val="000000" w:themeColor="text1"/>
          <w:sz w:val="24"/>
        </w:rPr>
        <w:t>. (a) The flow chart of the simplified Antagonistic 2-Node Network</w:t>
      </w:r>
      <w:r>
        <w:rPr>
          <w:rFonts w:hint="eastAsia"/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①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Input parameters. </w:t>
      </w:r>
      <w:r>
        <w:rPr>
          <w:rFonts w:hint="eastAsia"/>
          <w:color w:val="000000" w:themeColor="text1"/>
          <w:sz w:val="24"/>
        </w:rPr>
        <w:t>②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Click “Run”. </w:t>
      </w:r>
      <w:r>
        <w:rPr>
          <w:rFonts w:hint="eastAsia"/>
          <w:color w:val="000000" w:themeColor="text1"/>
          <w:sz w:val="24"/>
        </w:rPr>
        <w:t>③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The simulation completes with a 100% progress bar and the files saved in “Output 2-Node”. The 1</w:t>
      </w:r>
      <w:r>
        <w:rPr>
          <w:rFonts w:cs="Times New Roman"/>
          <w:color w:val="000000" w:themeColor="text1"/>
          <w:sz w:val="24"/>
        </w:rPr>
        <w:t>×</w:t>
      </w:r>
      <w:r>
        <w:rPr>
          <w:color w:val="000000" w:themeColor="text1"/>
          <w:sz w:val="24"/>
        </w:rPr>
        <w:t xml:space="preserve">2 cell data stored in “Pattern_500.mat” is used to show the data format, the first one storing the node names and their location and the second storing </w:t>
      </w:r>
      <w:r>
        <w:rPr>
          <w:i/>
          <w:iCs/>
          <w:color w:val="000000" w:themeColor="text1"/>
          <w:sz w:val="24"/>
        </w:rPr>
        <w:t>x</w:t>
      </w:r>
      <w:r>
        <w:rPr>
          <w:color w:val="000000" w:themeColor="text1"/>
          <w:sz w:val="24"/>
        </w:rPr>
        <w:t xml:space="preserve">-axis and pattern of each node at </w:t>
      </w:r>
      <m:oMath>
        <m:r>
          <w:rPr>
            <w:rFonts w:ascii="Cambria Math" w:hAnsi="Cambria Math"/>
            <w:color w:val="000000" w:themeColor="text1"/>
            <w:sz w:val="24"/>
          </w:rPr>
          <m:t>t=500</m:t>
        </m:r>
      </m:oMath>
      <w:r>
        <w:rPr>
          <w:rFonts w:hint="eastAsia"/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④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Input the file pathway of the pattern. </w:t>
      </w:r>
      <w:r>
        <w:rPr>
          <w:rFonts w:hint="eastAsia"/>
          <w:color w:val="000000" w:themeColor="text1"/>
          <w:sz w:val="24"/>
        </w:rPr>
        <w:t>⑤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Click “Plot”. </w:t>
      </w:r>
      <w:r>
        <w:rPr>
          <w:rFonts w:hint="eastAsia"/>
          <w:color w:val="000000" w:themeColor="text1"/>
          <w:sz w:val="24"/>
        </w:rPr>
        <w:t>⑥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The simulation completes with a figure at </w:t>
      </w:r>
      <m:oMath>
        <m:r>
          <w:rPr>
            <w:rFonts w:ascii="Cambria Math" w:hAnsi="Cambria Math"/>
            <w:color w:val="000000" w:themeColor="text1"/>
            <w:sz w:val="24"/>
          </w:rPr>
          <m:t>t=500</m:t>
        </m:r>
      </m:oMath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and the result of transition plane in the box “Output: Transition Plane”.</w:t>
      </w:r>
      <w:r>
        <w:rPr>
          <w:rFonts w:hint="eastAsia"/>
          <w:color w:val="000000" w:themeColor="text1"/>
          <w:sz w:val="24"/>
        </w:rPr>
        <w:t>⑦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Input the file pathway of the “Pattern_*.mat” into “Import: Start Time”, where “*” denotes the start time. It’s the same with “Import: End Time”, but “*” denotes the end time. </w:t>
      </w:r>
      <w:r>
        <w:rPr>
          <w:rFonts w:hint="eastAsia"/>
          <w:color w:val="000000" w:themeColor="text1"/>
          <w:sz w:val="24"/>
        </w:rPr>
        <w:t>⑧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Click “Run”. </w:t>
      </w:r>
      <w:r>
        <w:rPr>
          <w:rFonts w:hint="eastAsia"/>
          <w:color w:val="000000" w:themeColor="text1"/>
          <w:sz w:val="24"/>
        </w:rPr>
        <w:t>⑨</w:t>
      </w:r>
      <w:r>
        <w:rPr>
          <w:color w:val="000000" w:themeColor="text1"/>
          <w:sz w:val="24"/>
        </w:rPr>
        <w:t xml:space="preserve"> The simulation completes with the result of interface velocity in the box “Ouput: Interface Velocity”.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(b) The same as (a) but for the </w:t>
      </w:r>
      <w:r>
        <w:rPr>
          <w:i/>
          <w:iCs/>
          <w:color w:val="000000" w:themeColor="text1"/>
          <w:sz w:val="24"/>
        </w:rPr>
        <w:t>C. elegans</w:t>
      </w:r>
      <w:r>
        <w:rPr>
          <w:color w:val="000000" w:themeColor="text1"/>
          <w:sz w:val="24"/>
        </w:rPr>
        <w:t xml:space="preserve"> Wild-Type 5-Node Network.</w:t>
      </w:r>
    </w:p>
    <w:p>
      <w:pPr>
        <w:spacing w:line="360" w:lineRule="auto"/>
        <w:rPr>
          <w:sz w:val="24"/>
        </w:rPr>
      </w:pPr>
    </w:p>
    <w:p>
      <w:pPr>
        <w:widowControl/>
        <w:spacing w:line="36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813697" cy="51254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41" cy="512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b/>
          <w:bCs/>
          <w:sz w:val="24"/>
        </w:rPr>
        <w:t xml:space="preserve">Fig. G4. </w:t>
      </w:r>
      <w:r>
        <w:rPr>
          <w:color w:val="000000" w:themeColor="text1"/>
          <w:sz w:val="24"/>
        </w:rPr>
        <w:t xml:space="preserve">The results of Example 3 of </w:t>
      </w:r>
      <w:r>
        <w:rPr>
          <w:i/>
          <w:iCs/>
          <w:color w:val="000000" w:themeColor="text1"/>
          <w:sz w:val="24"/>
        </w:rPr>
        <w:t>PolarSim</w:t>
      </w:r>
      <w:r>
        <w:rPr>
          <w:color w:val="000000" w:themeColor="text1"/>
          <w:sz w:val="24"/>
        </w:rPr>
        <w:t xml:space="preserve">. </w:t>
      </w:r>
      <w:r>
        <w:rPr>
          <w:sz w:val="24"/>
        </w:rPr>
        <w:t xml:space="preserve">(a) The input of the LGL-1 Mutant 4-Node Network. The transition plane is calculated at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>,</w:t>
      </w:r>
      <w:r>
        <w:rPr>
          <w:sz w:val="24"/>
        </w:rPr>
        <w:t xml:space="preserve"> with a result of </w:t>
      </w:r>
      <m:oMath>
        <m:r>
          <w:rPr>
            <w:rFonts w:ascii="Cambria Math" w:hAnsi="Cambria Math"/>
            <w:sz w:val="24"/>
          </w:rPr>
          <m:t>x=0.207071</m:t>
        </m:r>
      </m:oMath>
      <w:r>
        <w:rPr>
          <w:sz w:val="24"/>
        </w:rPr>
        <w:t xml:space="preserve">. The interface velocity is calculated between </w:t>
      </w:r>
      <m:oMath>
        <m:r>
          <w:rPr>
            <w:rFonts w:ascii="Cambria Math" w:hAnsi="Cambria Math"/>
            <w:sz w:val="24"/>
          </w:rPr>
          <m:t>t=300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and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>,</w:t>
      </w:r>
      <w:r>
        <w:rPr>
          <w:sz w:val="24"/>
        </w:rPr>
        <w:t xml:space="preserve"> with the result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=0.000429293</m:t>
        </m:r>
      </m:oMath>
      <w:r>
        <w:rPr>
          <w:sz w:val="24"/>
        </w:rPr>
        <w:t xml:space="preserve"> representing an unstable pattern (top). The figure is plotted at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>(bottom)</w:t>
      </w:r>
      <w:r>
        <w:rPr>
          <w:rFonts w:hint="eastAsia"/>
          <w:sz w:val="24"/>
        </w:rPr>
        <w:t>.</w:t>
      </w:r>
      <w:r>
        <w:rPr>
          <w:sz w:val="24"/>
        </w:rPr>
        <w:t xml:space="preserve"> (b) The transition plane and the figure is shown at </w:t>
      </w:r>
      <m:oMath>
        <m:r>
          <w:rPr>
            <w:rFonts w:ascii="Cambria Math" w:hAnsi="Cambria Math"/>
            <w:sz w:val="24"/>
          </w:rPr>
          <m:t xml:space="preserve">t=1000 </m:t>
        </m:r>
      </m:oMath>
      <w:r>
        <w:rPr>
          <w:sz w:val="24"/>
        </w:rPr>
        <w:t xml:space="preserve">and the interface velocity is calculated between </w:t>
      </w:r>
      <m:oMath>
        <m:r>
          <w:rPr>
            <w:rFonts w:ascii="Cambria Math" w:hAnsi="Cambria Math"/>
            <w:sz w:val="24"/>
          </w:rPr>
          <m:t>t=800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and </w:t>
      </w:r>
      <m:oMath>
        <m:r>
          <w:rPr>
            <w:rFonts w:ascii="Cambria Math" w:hAnsi="Cambria Math"/>
            <w:sz w:val="24"/>
          </w:rPr>
          <m:t>t=1000</m:t>
        </m:r>
      </m:oMath>
      <w:r>
        <w:rPr>
          <w:rFonts w:hint="eastAsia"/>
          <w:sz w:val="24"/>
        </w:rPr>
        <w:t>.</w:t>
      </w:r>
      <w:r>
        <w:rPr>
          <w:sz w:val="24"/>
        </w:rPr>
        <w:t xml:space="preserve"> The pattern collapses to a homogeneous state with [A] and [C] invading into the posterior domain at </w:t>
      </w:r>
      <m:oMath>
        <m:r>
          <w:rPr>
            <w:rFonts w:ascii="Cambria Math" w:hAnsi="Cambria Math"/>
            <w:sz w:val="24"/>
          </w:rPr>
          <m:t>t=1000</m:t>
        </m:r>
      </m:oMath>
      <w:r>
        <w:rPr>
          <w:sz w:val="24"/>
        </w:rPr>
        <w:t>, thus the transition plane doesn’t exist and the interface can’t be calculated.</w:t>
      </w:r>
    </w:p>
    <w:p>
      <w:pPr>
        <w:widowControl/>
        <w:spacing w:line="360" w:lineRule="auto"/>
        <w:rPr>
          <w:rFonts w:ascii="宋体" w:hAnsi="宋体" w:cs="宋体" w:hint="eastAsia"/>
          <w:sz w:val="24"/>
          <w:szCs w:val="24"/>
        </w:rPr>
      </w:pPr>
    </w:p>
    <w:p>
      <w:pPr>
        <w:widowControl/>
        <w:spacing w:line="36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442752" cy="1865908"/>
            <wp:effectExtent l="0" t="0" r="571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915" cy="18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b/>
          <w:bCs/>
          <w:sz w:val="24"/>
        </w:rPr>
        <w:t>Fig. G5.</w:t>
      </w:r>
      <w:r>
        <w:rPr>
          <w:sz w:val="24"/>
        </w:rPr>
        <w:t xml:space="preserve"> (a) The progress bar shows running progress. (b) The output subfolders in the folder PolarSim.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4. Application</w:t>
      </w:r>
    </w:p>
    <w:p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 xml:space="preserve">Our </w:t>
      </w:r>
      <w:r>
        <w:rPr>
          <w:i/>
          <w:iCs/>
          <w:sz w:val="24"/>
        </w:rPr>
        <w:t>PolarSim</w:t>
      </w:r>
      <w:r>
        <w:rPr>
          <w:sz w:val="24"/>
        </w:rPr>
        <w:t xml:space="preserve"> is also applicable for similar biological system. Here, we take the cell length as an example to study how the polarity pattern output depends on the system size. </w:t>
      </w:r>
      <w:r>
        <w:rPr>
          <w:rFonts w:hint="eastAsia"/>
          <w:sz w:val="24"/>
        </w:rPr>
        <w:t>D</w:t>
      </w:r>
      <w:r>
        <w:rPr>
          <w:sz w:val="24"/>
        </w:rPr>
        <w:t xml:space="preserve">ifferent cell lengths are applied to the two examples to study whether size threshold limits polarization. Patterns at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>are plotted with the cell length ranging from 0.1 to 0.5 (</w:t>
      </w:r>
      <w:r>
        <w:rPr>
          <w:color w:val="0070C0"/>
          <w:sz w:val="24"/>
        </w:rPr>
        <w:t>Fig. G6</w:t>
      </w:r>
      <w:r>
        <w:rPr>
          <w:sz w:val="24"/>
        </w:rPr>
        <w:t>).</w:t>
      </w:r>
    </w:p>
    <w:p>
      <w:pPr>
        <w:spacing w:line="360" w:lineRule="auto"/>
        <w:rPr>
          <w:sz w:val="24"/>
        </w:rPr>
      </w:pPr>
    </w:p>
    <w:p>
      <w:pPr>
        <w:widowControl/>
        <w:spacing w:line="36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787677" cy="1558348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753" cy="156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b/>
          <w:bCs/>
          <w:sz w:val="24"/>
        </w:rPr>
        <w:t>Fig. G6.</w:t>
      </w:r>
      <w:r>
        <w:rPr>
          <w:sz w:val="24"/>
        </w:rPr>
        <w:t xml:space="preserve"> The effects of cell length on the polarity pattern. (a-e) The pattern of antagonistic 2-Node network at </w:t>
      </w:r>
      <m:oMath>
        <m:r>
          <w:rPr>
            <w:rFonts w:ascii="Cambria Math" w:hAnsi="Cambria Math"/>
            <w:sz w:val="24"/>
          </w:rPr>
          <m:t>t=500</m:t>
        </m:r>
      </m:oMath>
      <w:r>
        <w:rPr>
          <w:sz w:val="24"/>
        </w:rPr>
        <w:t xml:space="preserve">. From left to right, the cell lengths are respectively 0.1, 0.2, 0.3, 0.4 and 0.5. (f-j) The same as (a-e) but the </w:t>
      </w:r>
      <w:r>
        <w:rPr>
          <w:i/>
          <w:iCs/>
          <w:sz w:val="24"/>
        </w:rPr>
        <w:t>C. elegans</w:t>
      </w:r>
      <w:r>
        <w:rPr>
          <w:sz w:val="24"/>
        </w:rPr>
        <w:t xml:space="preserve"> 5-Node network.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 xml:space="preserve">Polarity pattern demands for reasonable scale, which to some extent gives constraints for cell volume during asymmetric division. </w:t>
      </w:r>
      <w:r>
        <w:rPr>
          <w:i/>
          <w:iCs/>
          <w:sz w:val="24"/>
        </w:rPr>
        <w:t>PolarSim</w:t>
      </w:r>
      <w:r>
        <w:rPr>
          <w:sz w:val="24"/>
        </w:rPr>
        <w:t xml:space="preserve"> provides a blue prints for more applications in polarity pattern.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b/>
          <w:bCs/>
          <w:sz w:val="24"/>
        </w:rPr>
      </w:pPr>
      <w:bookmarkStart w:id="3" w:name="OLE_LINK1"/>
      <w:r>
        <w:rPr>
          <w:b/>
          <w:bCs/>
          <w:sz w:val="24"/>
        </w:rPr>
        <w:t xml:space="preserve">5. </w:t>
      </w:r>
      <w:r>
        <w:rPr>
          <w:rFonts w:hint="eastAsia"/>
          <w:b/>
          <w:bCs/>
          <w:sz w:val="24"/>
        </w:rPr>
        <w:t>Contact</w:t>
      </w:r>
    </w:p>
    <w:bookmarkEnd w:id="3"/>
    <w:p>
      <w:pPr>
        <w:spacing w:line="360" w:lineRule="auto"/>
        <w:rPr>
          <w:sz w:val="24"/>
        </w:rPr>
      </w:pPr>
    </w:p>
    <w:p/>
    <w:sectPr>
      <w:footerReference w:type="default" r:id="rId16"/>
      <w:pgSz w:w="11906" w:h="16838"/>
      <w:pgMar w:top="1418" w:right="1418" w:bottom="1418" w:left="1418" w:header="851" w:footer="0" w:gutter="0"/>
      <w:lnNumType w:countBy="1" w:distance="57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宜煊" w:date="2023-09-12T17:04:00Z" w:initials="宜煊">
    <w:p>
      <w:pPr>
        <w:pStyle w:val="a4"/>
      </w:pPr>
      <w:r>
        <w:rPr>
          <w:rStyle w:val="af1"/>
        </w:rPr>
        <w:annotationRef/>
      </w:r>
      <w:r>
        <w:t>MATLAB version: 9.13.0.2049777 (R2022b), Natick, Massachusetts: The MathWorks Inc. (2022).</w:t>
      </w:r>
    </w:p>
  </w:comment>
  <w:comment w:id="1" w:author="宜煊" w:date="2023-09-13T00:46:00Z" w:initials="宜煊">
    <w:p>
      <w:pPr>
        <w:pStyle w:val="a4"/>
      </w:pPr>
      <w:r>
        <w:rPr>
          <w:rStyle w:val="af1"/>
        </w:rPr>
        <w:annotationRef/>
      </w:r>
      <w:r>
        <w:rPr>
          <w:rFonts w:hint="eastAsia"/>
        </w:rPr>
        <w:t>必须大于</w:t>
      </w:r>
      <w:r>
        <w:rPr>
          <w:rFonts w:hint="eastAsia"/>
        </w:rPr>
        <w:t>0</w:t>
      </w:r>
      <w:r>
        <w:rPr>
          <w:rFonts w:hint="eastAsia"/>
        </w:rPr>
        <w:t>否则不收敛</w:t>
      </w:r>
    </w:p>
  </w:comment>
  <w:comment w:id="2" w:author="宜煊" w:date="2023-09-13T00:46:00Z" w:initials="宜煊">
    <w:p>
      <w:pPr>
        <w:pStyle w:val="a4"/>
      </w:pPr>
      <w:r>
        <w:rPr>
          <w:rStyle w:val="af1"/>
        </w:rPr>
        <w:annotationRef/>
      </w:r>
      <w:r>
        <w:rPr>
          <w:rFonts w:hint="eastAsia"/>
        </w:rPr>
        <w:t>必须大于</w:t>
      </w:r>
      <w:r>
        <w:rPr>
          <w:rFonts w:hint="eastAsia"/>
        </w:rPr>
        <w:t>0</w:t>
      </w:r>
      <w:r>
        <w:rPr>
          <w:rFonts w:hint="eastAsia"/>
        </w:rPr>
        <w:t>否则不收敛</w:t>
      </w:r>
    </w:p>
  </w:comment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159021"/>
      <w:docPartObj>
        <w:docPartGallery w:val="Page Numbers (Bottom of Page)"/>
        <w:docPartUnique/>
      </w:docPartObj>
    </w:sdtPr>
    <w:sdtContent>
      <w:p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zh-CN"/>
          </w:rPr>
          <w:t>8</w:t>
        </w:r>
        <w:r>
          <w:fldChar w:fldCharType="end"/>
        </w:r>
      </w:p>
    </w:sdtContent>
  </w:sdt>
  <w:p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048DA"/>
    <w:multiLevelType w:val="multilevel"/>
    <w:tmpl w:val="47C048DA"/>
    <w:lvl w:ilvl="0">
      <w:start w:val="1"/>
      <w:numFmt w:val="decimal"/>
      <w:pStyle w:val="a"/>
      <w:lvlText w:val="[%1]"/>
      <w:lvlJc w:val="left"/>
      <w:pPr>
        <w:tabs>
          <w:tab w:val="left" w:pos="420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71184D"/>
    <w:multiLevelType w:val="hybridMultilevel"/>
    <w:tmpl w:val="ADA4FE1E"/>
    <w:lvl w:ilvl="0" w:tplc="3ABA3D30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宜煊">
    <w15:presenceInfo w15:providerId="Windows Live" w15:userId="9621f67a93e41bc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0szA0NTMzNjEzM7dU0lEKTi0uzszPAymwtKwFAN7we9MtAAAA"/>
  </w:docVar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A99FA52-46B6-44EE-BAC4-413ED47B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160" w:line="259" w:lineRule="auto"/>
      <w:jc w:val="both"/>
    </w:pPr>
    <w:rPr>
      <w:rFonts w:cstheme="minorBidi"/>
      <w:sz w:val="22"/>
      <w:szCs w:val="22"/>
    </w:rPr>
  </w:style>
  <w:style w:type="paragraph" w:styleId="1">
    <w:name w:val="heading 1"/>
    <w:basedOn w:val="a0"/>
    <w:link w:val="10"/>
    <w:uiPriority w:val="9"/>
    <w:qFormat/>
    <w:pPr>
      <w:widowControl/>
      <w:spacing w:before="100" w:beforeAutospacing="1" w:after="100" w:afterAutospacing="1" w:line="240" w:lineRule="auto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6">
    <w:name w:val="Balloon Text"/>
    <w:basedOn w:val="a0"/>
    <w:link w:val="a7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a">
    <w:name w:val="header"/>
    <w:basedOn w:val="a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c">
    <w:name w:val="annotation subject"/>
    <w:basedOn w:val="a4"/>
    <w:next w:val="a4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2"/>
    <w:uiPriority w:val="39"/>
    <w:qFormat/>
    <w:pPr>
      <w:widowControl w:val="0"/>
      <w:spacing w:line="254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1"/>
    <w:uiPriority w:val="99"/>
    <w:unhideWhenUsed/>
    <w:qFormat/>
    <w:rPr>
      <w:color w:val="800080"/>
      <w:u w:val="single"/>
    </w:rPr>
  </w:style>
  <w:style w:type="character" w:styleId="af0">
    <w:name w:val="Hyperlink"/>
    <w:basedOn w:val="a1"/>
    <w:uiPriority w:val="99"/>
    <w:unhideWhenUsed/>
    <w:qFormat/>
    <w:rPr>
      <w:color w:val="0000FF"/>
      <w:u w:val="single"/>
    </w:rPr>
  </w:style>
  <w:style w:type="character" w:styleId="af1">
    <w:name w:val="annotation reference"/>
    <w:basedOn w:val="a1"/>
    <w:uiPriority w:val="99"/>
    <w:semiHidden/>
    <w:unhideWhenUsed/>
    <w:qFormat/>
    <w:rPr>
      <w:sz w:val="16"/>
      <w:szCs w:val="16"/>
    </w:rPr>
  </w:style>
  <w:style w:type="character" w:styleId="af2">
    <w:name w:val="Placeholder Text"/>
    <w:basedOn w:val="a1"/>
    <w:uiPriority w:val="99"/>
    <w:semiHidden/>
    <w:qFormat/>
    <w:rPr>
      <w:color w:val="808080"/>
    </w:rPr>
  </w:style>
  <w:style w:type="character" w:customStyle="1" w:styleId="a5">
    <w:name w:val="批注文字 字符"/>
    <w:basedOn w:val="a1"/>
    <w:link w:val="a4"/>
    <w:uiPriority w:val="99"/>
    <w:qFormat/>
    <w:rPr>
      <w:sz w:val="20"/>
      <w:szCs w:val="20"/>
    </w:rPr>
  </w:style>
  <w:style w:type="character" w:customStyle="1" w:styleId="ad">
    <w:name w:val="批注主题 字符"/>
    <w:basedOn w:val="a5"/>
    <w:link w:val="ac"/>
    <w:uiPriority w:val="99"/>
    <w:semiHidden/>
    <w:qFormat/>
    <w:rPr>
      <w:b/>
      <w:bCs/>
      <w:sz w:val="20"/>
      <w:szCs w:val="20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b">
    <w:name w:val="页眉 字符"/>
    <w:basedOn w:val="a1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character" w:customStyle="1" w:styleId="15">
    <w:name w:val="15"/>
    <w:basedOn w:val="a1"/>
    <w:qFormat/>
    <w:rPr>
      <w:rFonts w:ascii="Times New Roman" w:hAnsi="Times New Roman" w:cs="Times New Roman" w:hint="default"/>
      <w:color w:val="0000FF"/>
      <w:u w:val="single"/>
    </w:rPr>
  </w:style>
  <w:style w:type="paragraph" w:customStyle="1" w:styleId="msonormal0">
    <w:name w:val="msonormal"/>
    <w:basedOn w:val="a0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sz w:val="24"/>
      <w:szCs w:val="24"/>
    </w:rPr>
  </w:style>
  <w:style w:type="character" w:customStyle="1" w:styleId="100">
    <w:name w:val="10"/>
    <w:basedOn w:val="a1"/>
    <w:qFormat/>
    <w:rPr>
      <w:rFonts w:ascii="Times New Roman" w:hAnsi="Times New Roman" w:cs="Times New Roman" w:hint="default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paragraph" w:customStyle="1" w:styleId="a">
    <w:name w:val="参考文献"/>
    <w:basedOn w:val="a0"/>
    <w:qFormat/>
    <w:pPr>
      <w:numPr>
        <w:numId w:val="1"/>
      </w:numPr>
      <w:tabs>
        <w:tab w:val="clear" w:pos="420"/>
        <w:tab w:val="left" w:pos="397"/>
      </w:tabs>
      <w:spacing w:before="60" w:line="320" w:lineRule="exact"/>
    </w:pPr>
    <w:rPr>
      <w:rFonts w:asciiTheme="minorHAnsi" w:eastAsiaTheme="minorEastAsia" w:hAnsiTheme="minorHAnsi"/>
      <w:bCs/>
      <w:color w:val="000000"/>
    </w:rPr>
  </w:style>
  <w:style w:type="paragraph" w:customStyle="1" w:styleId="11">
    <w:name w:val="列表段落1"/>
    <w:basedOn w:val="a0"/>
    <w:pPr>
      <w:spacing w:before="100" w:beforeAutospacing="1" w:line="256" w:lineRule="auto"/>
      <w:ind w:firstLineChars="200" w:firstLine="420"/>
    </w:pPr>
    <w:rPr>
      <w:rFonts w:cs="Times New Roman"/>
    </w:rPr>
  </w:style>
  <w:style w:type="character" w:customStyle="1" w:styleId="authors-list-item">
    <w:name w:val="authors-list-item"/>
    <w:basedOn w:val="a1"/>
  </w:style>
  <w:style w:type="character" w:customStyle="1" w:styleId="author-sup-separator">
    <w:name w:val="author-sup-separator"/>
    <w:basedOn w:val="a1"/>
  </w:style>
  <w:style w:type="character" w:customStyle="1" w:styleId="comma">
    <w:name w:val="comma"/>
    <w:basedOn w:val="a1"/>
  </w:style>
  <w:style w:type="character" w:customStyle="1" w:styleId="highwire-citation-author">
    <w:name w:val="highwire-citation-author"/>
    <w:basedOn w:val="a1"/>
  </w:style>
  <w:style w:type="character" w:customStyle="1" w:styleId="nlm-given-names">
    <w:name w:val="nlm-given-names"/>
    <w:basedOn w:val="a1"/>
  </w:style>
  <w:style w:type="character" w:customStyle="1" w:styleId="nlm-surname">
    <w:name w:val="nlm-surname"/>
    <w:basedOn w:val="a1"/>
  </w:style>
  <w:style w:type="character" w:customStyle="1" w:styleId="12">
    <w:name w:val="未处理的提及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font11">
    <w:name w:val="font11"/>
    <w:basedOn w:val="a1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customStyle="1" w:styleId="UnresolvedMention1">
    <w:name w:val="Unresolved Mention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high-light">
    <w:name w:val="high-light"/>
    <w:basedOn w:val="a1"/>
  </w:style>
  <w:style w:type="character" w:customStyle="1" w:styleId="apple-converted-space">
    <w:name w:val="apple-converted-space"/>
    <w:basedOn w:val="a1"/>
  </w:style>
  <w:style w:type="paragraph" w:styleId="af4">
    <w:name w:val="Revision"/>
    <w:hidden/>
    <w:uiPriority w:val="99"/>
    <w:semiHidden/>
    <w:rPr>
      <w:rFonts w:cstheme="minorBidi"/>
      <w:sz w:val="22"/>
      <w:szCs w:val="22"/>
    </w:rPr>
  </w:style>
  <w:style w:type="character" w:customStyle="1" w:styleId="2">
    <w:name w:val="未处理的提及2"/>
    <w:basedOn w:val="a1"/>
    <w:uiPriority w:val="99"/>
    <w:rPr>
      <w:color w:val="605E5C"/>
      <w:shd w:val="clear" w:color="auto" w:fill="E1DFDD"/>
    </w:rPr>
  </w:style>
  <w:style w:type="character" w:styleId="af5">
    <w:name w:val="line number"/>
    <w:basedOn w:val="a1"/>
    <w:uiPriority w:val="99"/>
    <w:semiHidden/>
    <w:unhideWhenUsed/>
  </w:style>
  <w:style w:type="character" w:styleId="af6">
    <w:name w:val="Emphasis"/>
    <w:basedOn w:val="a1"/>
    <w:uiPriority w:val="20"/>
    <w:qFormat/>
    <w:rPr>
      <w:i/>
      <w:iCs/>
    </w:rPr>
  </w:style>
  <w:style w:type="character" w:customStyle="1" w:styleId="10">
    <w:name w:val="标题 1 字符"/>
    <w:basedOn w:val="a1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character" w:styleId="af7">
    <w:name w:val="Unresolved Mention"/>
    <w:basedOn w:val="a1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9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86E2E4-E6BF-44E2-B146-0C82C4C2D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23493</TotalTime>
  <Pages>10</Pages>
  <Words>1862</Words>
  <Characters>10057</Characters>
  <Application>Microsoft Office Word</Application>
  <DocSecurity>0</DocSecurity>
  <Lines>233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 Meow</dc:creator>
  <cp:keywords/>
  <dc:description/>
  <cp:lastModifiedBy>宜煊</cp:lastModifiedBy>
  <cp:revision>1354</cp:revision>
  <cp:lastPrinted>2021-02-16T08:49:00Z</cp:lastPrinted>
  <dcterms:created xsi:type="dcterms:W3CDTF">2022-03-05T08:57:00Z</dcterms:created>
  <dcterms:modified xsi:type="dcterms:W3CDTF">2024-01-08T20:36:00Z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  <property fmtid="{D5CDD505-2E9C-101B-9397-08002B2CF9AE}" pid="3" name="GrammarlyDocumentId">
    <vt:lpwstr>6a4ad357a787861ad5b87bcf13ab1983ee7e71215d2cf711c071a2d18e28e03e</vt:lpwstr>
  </property>
</Properties>
</file>