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5A19C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办学条件-信息化与资源</w:t>
      </w:r>
    </w:p>
    <w:p w14:paraId="486873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办学条件关键信息化指标：</w:t>
      </w:r>
      <w:r>
        <w:rPr>
          <w:rFonts w:hint="eastAsia"/>
          <w:lang w:val="en-US" w:eastAsia="zh-CN"/>
        </w:rPr>
        <w:t>生均图书册数[</w:t>
      </w:r>
      <w:r>
        <w:rPr>
          <w:rFonts w:hint="eastAsia"/>
          <w:color w:val="FF0000"/>
          <w:lang w:val="en-US" w:eastAsia="zh-CN"/>
        </w:rPr>
        <w:t>398587/在校生数量</w:t>
      </w:r>
      <w:r>
        <w:rPr>
          <w:rFonts w:hint="eastAsia"/>
          <w:lang w:val="en-US" w:eastAsia="zh-CN"/>
        </w:rPr>
        <w:t>]生均年进书量</w:t>
      </w:r>
      <w:r>
        <w:rPr>
          <w:rFonts w:hint="eastAsia"/>
          <w:color w:val="FF0000"/>
          <w:lang w:val="en-US" w:eastAsia="zh-CN"/>
        </w:rPr>
        <w:t>[7545/在校生数量</w:t>
      </w:r>
      <w:r>
        <w:rPr>
          <w:rFonts w:hint="eastAsia"/>
          <w:lang w:val="en-US" w:eastAsia="zh-CN"/>
        </w:rPr>
        <w:t>]百名学生配教学计算机数量[</w:t>
      </w:r>
      <w:r>
        <w:rPr>
          <w:rFonts w:hint="eastAsia"/>
          <w:color w:val="FF0000"/>
          <w:lang w:val="en-US" w:eastAsia="zh-CN"/>
        </w:rPr>
        <w:t>920/在校生数量</w:t>
      </w:r>
      <w:r>
        <w:rPr>
          <w:rFonts w:hint="eastAsia"/>
          <w:lang w:val="en-US" w:eastAsia="zh-CN"/>
        </w:rPr>
        <w:t>]多媒体座位数[   ]</w:t>
      </w:r>
    </w:p>
    <w:p w14:paraId="174FAC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校园网基础设施：</w:t>
      </w:r>
      <w:r>
        <w:rPr>
          <w:rFonts w:hint="eastAsia"/>
          <w:lang w:val="en-US" w:eastAsia="zh-CN"/>
        </w:rPr>
        <w:t>互联网出口带宽[6500 Mbps]校园网主干最大带宽[10000 Mbps]</w:t>
      </w:r>
    </w:p>
    <w:p w14:paraId="3FE34AE3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数字化教学资源与智慧校园</w:t>
      </w:r>
    </w:p>
    <w:p w14:paraId="1A0DA4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数字资源与平台：</w:t>
      </w:r>
      <w:r>
        <w:rPr>
          <w:rFonts w:hint="eastAsia"/>
          <w:lang w:val="en-US" w:eastAsia="zh-CN"/>
        </w:rPr>
        <w:t>专业教学资源库数量及等级[   ]、接入国家智慧教育平台的具体情况[   ]校级在线精品课程数量与平均选课人数[   ]</w:t>
      </w:r>
    </w:p>
    <w:p w14:paraId="2691A2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虚拟仿真实训基地：虚拟仿真实训基地数量[   ]、层级（国家、省、校）[   ]、接入平台情况[   ]</w:t>
      </w:r>
    </w:p>
    <w:p w14:paraId="40049B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智慧校园与数智化治理：</w:t>
      </w:r>
    </w:p>
    <w:p w14:paraId="49EBBA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以习近平新时代中国特色社会主义思想为指导，深入贯彻《教育现代化2035》和《教育强国建设规划纲要（2024－2035年）》关于教育信息化的发展战略，聚焦以信息化支撑教育治理体系和治理能力现代化，助力</w:t>
      </w:r>
      <w:r>
        <w:rPr>
          <w:rFonts w:hint="eastAsia"/>
          <w:b/>
          <w:bCs/>
          <w:color w:val="FF0000"/>
          <w:lang w:val="en-US" w:eastAsia="zh-CN"/>
        </w:rPr>
        <w:t>学校地方技能型高水平大学建设</w:t>
      </w:r>
      <w:r>
        <w:rPr>
          <w:rFonts w:hint="eastAsia"/>
          <w:lang w:val="en-US" w:eastAsia="zh-CN"/>
        </w:rPr>
        <w:t>，为实现学校高质量发展提供基础信息化和数智化支撑，总体工作依据《阜阳幼儿师范高等专科学校“十四五”发展规划》，落实国家教育数字化战略行动2.0的决策部署，不断完善智慧校园建设，持续推进职业院校数字基座对接与应用。</w:t>
      </w:r>
    </w:p>
    <w:p w14:paraId="185853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密围绕学校“十四五”事业发展规划，落实立德树人根本任务；依据《安徽省教育系统党委（党组）网络安全责任制考核评价办法（试行）（皖教工委〔2021〕81号）》《职业院校大数据中心建设指南》《职业院校智慧校园规范（试行）》和《安徽省高校信息化评价指标体系2.0（皖教科〔2021〕3号）》等指导文件，以新模式、新机制稳步推进学校信息化各项工作，逐步完善信息化可持续发展机制，坚持信息化建设与人才培养、科学研究、管理服务深度融合。稳步推进网络育人基础工程，积极推进“人工智能+职业教育”新模式，不断提高校园信息化治理与服务水平，提升支撑教、科、研、管等平台新应用服务保障能力。</w:t>
      </w:r>
    </w:p>
    <w:p w14:paraId="5B3B92E4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智慧校园基础条件提升</w:t>
      </w:r>
    </w:p>
    <w:p w14:paraId="0E8779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坚持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统一标准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统一规划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以学校</w:t>
      </w:r>
      <w:r>
        <w:rPr>
          <w:rFonts w:hint="eastAsia"/>
          <w:lang w:val="en-US" w:eastAsia="zh-CN"/>
        </w:rPr>
        <w:t>教育教学</w:t>
      </w:r>
      <w:r>
        <w:rPr>
          <w:rFonts w:hint="default"/>
          <w:lang w:val="en-US" w:eastAsia="zh-CN"/>
        </w:rPr>
        <w:t>发展目标为基础，以</w:t>
      </w:r>
      <w:r>
        <w:rPr>
          <w:rFonts w:hint="eastAsia"/>
          <w:lang w:val="en-US" w:eastAsia="zh-CN"/>
        </w:rPr>
        <w:t>建设高速骨干网络</w:t>
      </w:r>
      <w:r>
        <w:rPr>
          <w:rFonts w:hint="default"/>
          <w:lang w:val="en-US" w:eastAsia="zh-CN"/>
        </w:rPr>
        <w:t>为导向，</w:t>
      </w:r>
      <w:r>
        <w:rPr>
          <w:rFonts w:hint="eastAsia"/>
          <w:lang w:val="en-US" w:eastAsia="zh-CN"/>
        </w:rPr>
        <w:t>不断完善</w:t>
      </w:r>
      <w:r>
        <w:rPr>
          <w:rFonts w:hint="default"/>
          <w:lang w:val="en-US" w:eastAsia="zh-CN"/>
        </w:rPr>
        <w:t>信息化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工作机制、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技术体系、</w:t>
      </w:r>
      <w:r>
        <w:rPr>
          <w:rFonts w:hint="eastAsia"/>
          <w:lang w:val="en-US" w:eastAsia="zh-CN"/>
        </w:rPr>
        <w:t>基础设施最大化有效利用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突出全校</w:t>
      </w:r>
      <w:r>
        <w:rPr>
          <w:rFonts w:hint="default"/>
          <w:lang w:val="en-US" w:eastAsia="zh-CN"/>
        </w:rPr>
        <w:t>系统性构建、统筹促进发展。学校</w:t>
      </w:r>
      <w:r>
        <w:rPr>
          <w:rFonts w:hint="eastAsia"/>
          <w:lang w:val="en-US" w:eastAsia="zh-CN"/>
        </w:rPr>
        <w:t>智慧校园</w:t>
      </w:r>
      <w:r>
        <w:rPr>
          <w:rFonts w:hint="default"/>
          <w:lang w:val="en-US" w:eastAsia="zh-CN"/>
        </w:rPr>
        <w:t>建设始于2000年，经过多年的</w:t>
      </w:r>
      <w:r>
        <w:rPr>
          <w:rFonts w:hint="eastAsia"/>
          <w:lang w:val="en-US" w:eastAsia="zh-CN"/>
        </w:rPr>
        <w:t>探索</w:t>
      </w:r>
      <w:r>
        <w:rPr>
          <w:rFonts w:hint="default"/>
          <w:lang w:val="en-US" w:eastAsia="zh-CN"/>
        </w:rPr>
        <w:t>发展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已经初具规模</w:t>
      </w:r>
      <w:r>
        <w:rPr>
          <w:rFonts w:hint="eastAsia"/>
          <w:lang w:val="en-US" w:eastAsia="zh-CN"/>
        </w:rPr>
        <w:t>，岳家湖和七鱼河校区</w:t>
      </w:r>
      <w:r>
        <w:rPr>
          <w:rFonts w:hint="default"/>
          <w:lang w:val="en-US" w:eastAsia="zh-CN"/>
        </w:rPr>
        <w:t>主干网络采用</w:t>
      </w:r>
      <w:r>
        <w:rPr>
          <w:rFonts w:hint="eastAsia"/>
          <w:lang w:val="en-US" w:eastAsia="zh-CN"/>
        </w:rPr>
        <w:t>XGS-PON全光网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基本实现了核心数据万兆交换，可满足未来3-5年核心数据交换基础性需求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两校区均建设</w:t>
      </w:r>
      <w:r>
        <w:rPr>
          <w:rFonts w:hint="default"/>
          <w:lang w:val="en-US" w:eastAsia="zh-CN"/>
        </w:rPr>
        <w:t>B级数据中心机房</w:t>
      </w:r>
      <w:r>
        <w:rPr>
          <w:rFonts w:hint="eastAsia"/>
          <w:lang w:val="en-US" w:eastAsia="zh-CN"/>
        </w:rPr>
        <w:t>，实现校园一张网，用户终端</w:t>
      </w:r>
      <w:r>
        <w:rPr>
          <w:rFonts w:hint="default"/>
          <w:lang w:val="en-US" w:eastAsia="zh-CN"/>
        </w:rPr>
        <w:t>千兆网络全覆盖</w:t>
      </w:r>
      <w:r>
        <w:rPr>
          <w:rFonts w:hint="eastAsia"/>
          <w:lang w:val="en-US" w:eastAsia="zh-CN"/>
        </w:rPr>
        <w:t>，校园安防</w:t>
      </w:r>
      <w:r>
        <w:rPr>
          <w:rFonts w:hint="default"/>
          <w:lang w:val="en-US" w:eastAsia="zh-CN"/>
        </w:rPr>
        <w:t>视频监控高清化，数字广播系统智慧化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计算资源云化管理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数据资源集中存储等校园信息化的</w:t>
      </w:r>
      <w:r>
        <w:rPr>
          <w:rFonts w:hint="eastAsia"/>
          <w:lang w:val="en-US" w:eastAsia="zh-CN"/>
        </w:rPr>
        <w:t>基础</w:t>
      </w:r>
      <w:r>
        <w:rPr>
          <w:rFonts w:hint="default"/>
          <w:lang w:val="en-US" w:eastAsia="zh-CN"/>
        </w:rPr>
        <w:t>功能。</w:t>
      </w:r>
    </w:p>
    <w:tbl>
      <w:tblPr>
        <w:tblStyle w:val="2"/>
        <w:tblW w:w="76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1687"/>
        <w:gridCol w:w="2115"/>
        <w:gridCol w:w="1763"/>
        <w:gridCol w:w="1431"/>
      </w:tblGrid>
      <w:tr w14:paraId="1083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38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380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5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关键信息化指标</w:t>
            </w:r>
          </w:p>
        </w:tc>
        <w:tc>
          <w:tcPr>
            <w:tcW w:w="3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D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校园网基础设施</w:t>
            </w:r>
          </w:p>
        </w:tc>
      </w:tr>
      <w:tr w14:paraId="58E9B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AF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D4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生均图书册数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6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398587/在校生数量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D0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互联网出口带宽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7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6500 Mbps</w:t>
            </w:r>
          </w:p>
        </w:tc>
      </w:tr>
      <w:tr w14:paraId="6ABA3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F3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60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生均年进书量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A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7545/在校生数量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28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校园网主干最大</w:t>
            </w:r>
          </w:p>
          <w:p w14:paraId="53C23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带宽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AF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10000 Mbps</w:t>
            </w:r>
          </w:p>
        </w:tc>
      </w:tr>
      <w:tr w14:paraId="284BD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A5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3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百名学生配教学计算机数量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D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920/在校生数量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网络信息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点位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B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8546</w:t>
            </w:r>
          </w:p>
        </w:tc>
      </w:tr>
      <w:tr w14:paraId="71520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1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B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多媒体座位数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A71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94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无线网络信息点位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A5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882</w:t>
            </w:r>
          </w:p>
        </w:tc>
      </w:tr>
    </w:tbl>
    <w:p w14:paraId="1B812E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注：网络信息点位、无线网络信息点位均为岳家湖校区数据</w:t>
      </w:r>
    </w:p>
    <w:p w14:paraId="504DEE7B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数治化协同探索</w:t>
      </w:r>
    </w:p>
    <w:p w14:paraId="6E65D7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“校本数据资产”、“智慧运营与管理中心”、“数据安全体系”为重点突破方向，建设校园数据中台，对学校网站群系统、统一身份认证、教务管理、学工管理、人事管理、一卡通管理、办公OA、财务管理、后勤管理、图书管理、第二课堂、心理测评等业务系统进行数据标准化协同治理，基本实现业务系统数据入湖归仓。实现了校园网统一身份认证，整合形成网上办事大厅，探索实现服务师生事务性流程线上可办，增强信息化服务属性。探索在校本数据中台基础上，实现数据一表通，统一业务数据主管责权，初步达到数治化协同的基本要求。</w:t>
      </w:r>
    </w:p>
    <w:p w14:paraId="6AA7165C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网络安全保障</w:t>
      </w:r>
    </w:p>
    <w:p w14:paraId="5AAD86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“安全、共享、绿色、协作”为工作基准，不断完善资源共建共享、协同治理的机制，打造学校网络空间安全体系。网络安全技术保障层面形成了校园网出口隔离区域、内部应用服务器区域和主机终端运维区域三层安全技术防护；网络安全人员保障层面形成专职技术人员+兼职信息管理人员全覆盖管理机制。不断强化校园主阵地网络安全管理，完成了年度国家网络安全宣传周系列活动，对重要业务信息系统完成了等级保护测评备案，重要时期开展网络安全技术检测和漏洞扫描，基本形成校园网络安全防护体系。</w:t>
      </w:r>
    </w:p>
    <w:p w14:paraId="7F092A47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未来规划</w:t>
      </w:r>
    </w:p>
    <w:p w14:paraId="626B59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一个目标：</w:t>
      </w:r>
      <w:r>
        <w:rPr>
          <w:rFonts w:hint="eastAsia"/>
          <w:lang w:val="en-US" w:eastAsia="zh-CN"/>
        </w:rPr>
        <w:t>不断增强信息化基础设施应用支撑能力，</w:t>
      </w:r>
      <w:r>
        <w:rPr>
          <w:rFonts w:hint="eastAsia"/>
          <w:color w:val="FF0000"/>
          <w:lang w:val="en-US" w:eastAsia="zh-CN"/>
        </w:rPr>
        <w:t>以数治化支撑教育教学新应用和教育管理能力数字化，</w:t>
      </w:r>
      <w:r>
        <w:rPr>
          <w:rFonts w:hint="eastAsia"/>
          <w:lang w:val="en-US" w:eastAsia="zh-CN"/>
        </w:rPr>
        <w:t>实现校园线上服务“一网通办”。</w:t>
      </w:r>
    </w:p>
    <w:p w14:paraId="6C31D6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二个方向：</w:t>
      </w:r>
      <w:r>
        <w:rPr>
          <w:rFonts w:hint="eastAsia"/>
          <w:lang w:val="en-US" w:eastAsia="zh-CN"/>
        </w:rPr>
        <w:t>坚持服务导向，梳理高频次事务性流程，以业务数据资源标准化整合和智慧应用推广为核心，促进教学、科研、管理和服务水平的数字化转型。坚持问题导向，完善业务信息化平台升级建设，以业务数字化转型和协同联动互动为重点，推进智慧校园典型应用，基本实现业务实时数据看板化。</w:t>
      </w:r>
    </w:p>
    <w:p w14:paraId="5CAD31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三个提升</w:t>
      </w:r>
      <w:r>
        <w:rPr>
          <w:rFonts w:hint="eastAsia"/>
          <w:lang w:val="en-US" w:eastAsia="zh-CN"/>
        </w:rPr>
        <w:t>：全面提升师生信息素养和利用人工智能辅助解决实际问题的能力；提升业务数据归集标准化和数据协同治理能力；提升校本化数据中台服务应用教育、教学、管理场景的能力。</w:t>
      </w:r>
    </w:p>
    <w:p w14:paraId="5D0153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F584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教学质量监控系统、数据治理平台、诊改信息系统等建设与应用情况：</w:t>
      </w:r>
    </w:p>
    <w:p w14:paraId="15344B0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数据治理平台建设与应用情况</w:t>
      </w:r>
    </w:p>
    <w:p w14:paraId="56F001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6月《全国职业院校大数据中心建设指南》印发，对高等职业院校数据归集和治理提出了建设要求，学校于2024年4月建设了校园数据中台，先后整合学校业务信息系统18个，接入449张业务数据表，11145个数据项，数据存储总量29.62GB。结合学校实际，编制了《阜阳幼专数据标准管理办法（试行）》，对200张校标数据集和214个代码集进行了标准化，基于当前数据治理进展，初步形成了校园数据看板。学校数据中台应用事项4项，分别为无线网师生账号基础信息数据自动推送、一表通数据自动填充、学校综合信息图形化看板和学校教育教学信息图形化看板。</w:t>
      </w:r>
    </w:p>
    <w:p w14:paraId="63E34549">
      <w:r>
        <w:drawing>
          <wp:inline distT="0" distB="0" distL="114300" distR="114300">
            <wp:extent cx="5257165" cy="239712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D0B4">
      <w:pPr>
        <w:rPr>
          <w:rFonts w:hint="default"/>
          <w:lang w:val="en-US" w:eastAsia="zh-CN"/>
        </w:rPr>
      </w:pPr>
    </w:p>
    <w:p w14:paraId="0980FD64">
      <w:pPr>
        <w:rPr>
          <w:rFonts w:hint="eastAsia"/>
        </w:rPr>
      </w:pPr>
      <w:r>
        <w:drawing>
          <wp:inline distT="0" distB="0" distL="114300" distR="114300">
            <wp:extent cx="5257165" cy="237744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A5CE">
      <w:pPr>
        <w:rPr>
          <w:rFonts w:hint="eastAsia"/>
        </w:rPr>
      </w:pPr>
    </w:p>
    <w:p w14:paraId="565CA0E7">
      <w:pPr>
        <w:rPr>
          <w:rFonts w:hint="eastAsia"/>
        </w:rPr>
      </w:pPr>
    </w:p>
    <w:p w14:paraId="70470DDF">
      <w:pPr>
        <w:rPr>
          <w:rFonts w:hint="eastAsia"/>
        </w:rPr>
      </w:pPr>
    </w:p>
    <w:p w14:paraId="3D69F38E">
      <w:pPr>
        <w:rPr>
          <w:rFonts w:hint="eastAsia"/>
        </w:rPr>
      </w:pPr>
    </w:p>
    <w:p w14:paraId="048A1B48">
      <w:pPr>
        <w:rPr>
          <w:rFonts w:hint="eastAsia"/>
        </w:rPr>
      </w:pPr>
    </w:p>
    <w:p w14:paraId="487DA6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506F3"/>
    <w:multiLevelType w:val="singleLevel"/>
    <w:tmpl w:val="BAE506F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35693C9"/>
    <w:multiLevelType w:val="singleLevel"/>
    <w:tmpl w:val="E35693C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650FA"/>
    <w:rsid w:val="053F7FAA"/>
    <w:rsid w:val="22010E3A"/>
    <w:rsid w:val="5A1650FA"/>
    <w:rsid w:val="5B8F6F8F"/>
    <w:rsid w:val="7680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2167</Words>
  <Characters>2286</Characters>
  <Lines>0</Lines>
  <Paragraphs>0</Paragraphs>
  <TotalTime>36</TotalTime>
  <ScaleCrop>false</ScaleCrop>
  <LinksUpToDate>false</LinksUpToDate>
  <CharactersWithSpaces>2312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2025-12-09T01:39:00Z</dcterms:created>
  <dc:creator>真的安静</dc:creator>
  <cp:lastModifiedBy>真的安静</cp:lastModifiedBy>
  <dcterms:modified xsi:type="dcterms:W3CDTF">2025-12-09T06:56:58Z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6C4BB9E5DC244C6FB77C4A232AC4FFC1_11</vt:lpwstr>
  </property>
  <property fmtid="{D5CDD505-2E9C-101B-9397-08002B2CF9AE}" pid="4" name="KSOTemplateDocerSaveRecord">
    <vt:lpwstr>eyJoZGlkIjoiOTEwMjY3Y2M3MTA3YWM1MzYzODIxMDk5OGQ4ZDYzOGYiLCJ1c2VySWQiOiI1NTI1Njg1MjcifQ==</vt:lpwstr>
  </property>
</Properties>
</file>