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88BAB">
      <w:pPr>
        <w:jc w:val="center"/>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2025年教育质量年报报送材料（组织人事处）</w:t>
      </w:r>
    </w:p>
    <w:p w14:paraId="70806DDD">
      <w:pPr>
        <w:rPr>
          <w:rFonts w:hint="eastAsia"/>
          <w:lang w:val="en-US" w:eastAsia="zh-CN"/>
        </w:rPr>
      </w:pPr>
    </w:p>
    <w:p w14:paraId="360E19B0">
      <w:pPr>
        <w:rPr>
          <w:rFonts w:hint="default" w:ascii="方正小标宋_GBK" w:hAnsi="方正小标宋_GBK" w:eastAsia="方正小标宋_GBK" w:cs="方正小标宋_GBK"/>
          <w:sz w:val="32"/>
          <w:szCs w:val="40"/>
          <w:lang w:val="en-US" w:eastAsia="zh-CN"/>
        </w:rPr>
      </w:pPr>
      <w:r>
        <w:rPr>
          <w:rFonts w:hint="eastAsia" w:ascii="方正小标宋_GBK" w:hAnsi="方正小标宋_GBK" w:eastAsia="方正小标宋_GBK" w:cs="方正小标宋_GBK"/>
          <w:sz w:val="32"/>
          <w:szCs w:val="40"/>
          <w:lang w:val="en-US" w:eastAsia="zh-CN"/>
        </w:rPr>
        <w:t>一、师资队伍材料</w:t>
      </w:r>
    </w:p>
    <w:p w14:paraId="4DB6AA88">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1.职称结构：2024-2025学年学校共有教职工368人，其中专任教师为321人，比上年新增23人。现有专任教师中，高级专业技术职务教师91人，占比28.35%；中级职称教师132人，占比41.12%。</w:t>
      </w:r>
    </w:p>
    <w:p w14:paraId="08CB50E7">
      <w:pPr>
        <w:pStyle w:val="5"/>
        <w:numPr>
          <w:ilvl w:val="0"/>
          <w:numId w:val="0"/>
        </w:numPr>
        <w:spacing w:before="120" w:after="120"/>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职称结构</w:t>
      </w:r>
    </w:p>
    <w:tbl>
      <w:tblPr>
        <w:tblStyle w:val="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9"/>
        <w:gridCol w:w="2839"/>
        <w:gridCol w:w="2838"/>
      </w:tblGrid>
      <w:tr w14:paraId="75BDF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7AEB54BA">
            <w:pPr>
              <w:snapToGrid w:val="0"/>
              <w:spacing w:before="120" w:beforeLines="50" w:line="300" w:lineRule="auto"/>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职称等级</w:t>
            </w:r>
          </w:p>
        </w:tc>
        <w:tc>
          <w:tcPr>
            <w:tcW w:w="1667" w:type="pct"/>
            <w:vAlign w:val="top"/>
          </w:tcPr>
          <w:p w14:paraId="311E6738">
            <w:pPr>
              <w:snapToGrid w:val="0"/>
              <w:spacing w:before="120" w:beforeLines="50" w:line="300" w:lineRule="auto"/>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人数</w:t>
            </w:r>
          </w:p>
        </w:tc>
        <w:tc>
          <w:tcPr>
            <w:tcW w:w="1667" w:type="pct"/>
            <w:vAlign w:val="top"/>
          </w:tcPr>
          <w:p w14:paraId="766AAEB9">
            <w:pPr>
              <w:snapToGrid w:val="0"/>
              <w:spacing w:before="120" w:beforeLines="50" w:line="300" w:lineRule="auto"/>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百分比</w:t>
            </w:r>
          </w:p>
        </w:tc>
      </w:tr>
      <w:tr w14:paraId="1B20D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13E6B1B0">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高级</w:t>
            </w:r>
          </w:p>
        </w:tc>
        <w:tc>
          <w:tcPr>
            <w:tcW w:w="1667" w:type="pct"/>
            <w:vAlign w:val="top"/>
          </w:tcPr>
          <w:p w14:paraId="143B709A">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91</w:t>
            </w:r>
          </w:p>
        </w:tc>
        <w:tc>
          <w:tcPr>
            <w:tcW w:w="1667" w:type="pct"/>
            <w:vAlign w:val="top"/>
          </w:tcPr>
          <w:p w14:paraId="475B783F">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28.35%</w:t>
            </w:r>
          </w:p>
        </w:tc>
      </w:tr>
      <w:tr w14:paraId="4C89B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566A9978">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中级</w:t>
            </w:r>
          </w:p>
        </w:tc>
        <w:tc>
          <w:tcPr>
            <w:tcW w:w="1667" w:type="pct"/>
            <w:vAlign w:val="top"/>
          </w:tcPr>
          <w:p w14:paraId="528E62F0">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132</w:t>
            </w:r>
          </w:p>
        </w:tc>
        <w:tc>
          <w:tcPr>
            <w:tcW w:w="1667" w:type="pct"/>
            <w:vAlign w:val="top"/>
          </w:tcPr>
          <w:p w14:paraId="3B7682EE">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41.12%</w:t>
            </w:r>
          </w:p>
        </w:tc>
      </w:tr>
      <w:tr w14:paraId="1DC58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59C9B37D">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初级及以下</w:t>
            </w:r>
          </w:p>
        </w:tc>
        <w:tc>
          <w:tcPr>
            <w:tcW w:w="1667" w:type="pct"/>
            <w:vAlign w:val="top"/>
          </w:tcPr>
          <w:p w14:paraId="29F7BB6C">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98</w:t>
            </w:r>
          </w:p>
        </w:tc>
        <w:tc>
          <w:tcPr>
            <w:tcW w:w="1667" w:type="pct"/>
            <w:vAlign w:val="top"/>
          </w:tcPr>
          <w:p w14:paraId="1FDDDF20">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30.53%</w:t>
            </w:r>
          </w:p>
        </w:tc>
      </w:tr>
    </w:tbl>
    <w:p w14:paraId="5104FF1D">
      <w:pPr>
        <w:pStyle w:val="5"/>
        <w:spacing w:before="120" w:after="120"/>
        <w:rPr>
          <w:rFonts w:hint="default"/>
          <w:lang w:val="en-US" w:eastAsia="zh-CN"/>
        </w:rPr>
      </w:pPr>
      <w:r>
        <w:rPr>
          <w:rFonts w:hint="eastAsia" w:ascii="仿宋_GB2312" w:hAnsi="仿宋_GB2312" w:eastAsia="仿宋_GB2312" w:cs="仿宋_GB2312"/>
          <w:sz w:val="28"/>
          <w:szCs w:val="28"/>
        </w:rPr>
        <w:t>数据来源：</w:t>
      </w:r>
      <w:r>
        <w:rPr>
          <w:rFonts w:hint="eastAsia" w:ascii="仿宋_GB2312" w:hAnsi="仿宋_GB2312" w:eastAsia="仿宋_GB2312" w:cs="仿宋_GB2312"/>
          <w:sz w:val="28"/>
          <w:szCs w:val="28"/>
          <w:lang w:val="en-US" w:eastAsia="zh-CN"/>
        </w:rPr>
        <w:t>状态数据采集平台</w:t>
      </w:r>
      <w:r>
        <w:rPr>
          <w:rFonts w:hint="eastAsia" w:ascii="仿宋_GB2312" w:hAnsi="仿宋_GB2312" w:eastAsia="仿宋_GB2312" w:cs="仿宋_GB2312"/>
          <w:sz w:val="28"/>
          <w:szCs w:val="28"/>
        </w:rPr>
        <w:t>。</w:t>
      </w:r>
    </w:p>
    <w:p w14:paraId="6D1E1F16">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2.学历结构：2024-2025学年，学校321名专任教师中，硕士及以上学位专任教师256人，占比79.75%。</w:t>
      </w:r>
    </w:p>
    <w:p w14:paraId="70B69873">
      <w:pPr>
        <w:pStyle w:val="5"/>
        <w:numPr>
          <w:ilvl w:val="0"/>
          <w:numId w:val="0"/>
        </w:numPr>
        <w:spacing w:before="120" w:after="120"/>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学历结构</w:t>
      </w:r>
    </w:p>
    <w:tbl>
      <w:tblPr>
        <w:tblStyle w:val="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9"/>
        <w:gridCol w:w="2839"/>
        <w:gridCol w:w="2838"/>
      </w:tblGrid>
      <w:tr w14:paraId="445C4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28035556">
            <w:pPr>
              <w:pStyle w:val="5"/>
              <w:numPr>
                <w:ilvl w:val="0"/>
                <w:numId w:val="0"/>
              </w:numPr>
              <w:spacing w:before="120" w:after="120"/>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学历</w:t>
            </w:r>
          </w:p>
        </w:tc>
        <w:tc>
          <w:tcPr>
            <w:tcW w:w="1667" w:type="pct"/>
            <w:vAlign w:val="top"/>
          </w:tcPr>
          <w:p w14:paraId="22ED8AE7">
            <w:pPr>
              <w:pStyle w:val="5"/>
              <w:numPr>
                <w:ilvl w:val="0"/>
                <w:numId w:val="0"/>
              </w:numPr>
              <w:spacing w:before="120" w:after="120"/>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人数</w:t>
            </w:r>
          </w:p>
        </w:tc>
        <w:tc>
          <w:tcPr>
            <w:tcW w:w="1667" w:type="pct"/>
            <w:vAlign w:val="top"/>
          </w:tcPr>
          <w:p w14:paraId="0DF67E69">
            <w:pPr>
              <w:pStyle w:val="5"/>
              <w:numPr>
                <w:ilvl w:val="0"/>
                <w:numId w:val="0"/>
              </w:numPr>
              <w:spacing w:before="120" w:after="120"/>
              <w:jc w:val="cente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百分比</w:t>
            </w:r>
          </w:p>
        </w:tc>
      </w:tr>
      <w:tr w14:paraId="6DA16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2350861B">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博士研究生</w:t>
            </w:r>
          </w:p>
        </w:tc>
        <w:tc>
          <w:tcPr>
            <w:tcW w:w="1667" w:type="pct"/>
            <w:vAlign w:val="top"/>
          </w:tcPr>
          <w:p w14:paraId="63357261">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w:t>
            </w:r>
          </w:p>
        </w:tc>
        <w:tc>
          <w:tcPr>
            <w:tcW w:w="1667" w:type="pct"/>
            <w:vAlign w:val="top"/>
          </w:tcPr>
          <w:p w14:paraId="1471D266">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1.56%</w:t>
            </w:r>
          </w:p>
        </w:tc>
      </w:tr>
      <w:tr w14:paraId="69460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6309B3D0">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硕士研究生</w:t>
            </w:r>
          </w:p>
        </w:tc>
        <w:tc>
          <w:tcPr>
            <w:tcW w:w="1667" w:type="pct"/>
            <w:vAlign w:val="top"/>
          </w:tcPr>
          <w:p w14:paraId="06441B64">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251</w:t>
            </w:r>
          </w:p>
        </w:tc>
        <w:tc>
          <w:tcPr>
            <w:tcW w:w="1667" w:type="pct"/>
            <w:vAlign w:val="top"/>
          </w:tcPr>
          <w:p w14:paraId="7DDB8339">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78.19%</w:t>
            </w:r>
          </w:p>
        </w:tc>
      </w:tr>
      <w:tr w14:paraId="4391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3FB59A3E">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本科</w:t>
            </w:r>
          </w:p>
        </w:tc>
        <w:tc>
          <w:tcPr>
            <w:tcW w:w="1667" w:type="pct"/>
            <w:vAlign w:val="top"/>
          </w:tcPr>
          <w:p w14:paraId="34EB0175">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64</w:t>
            </w:r>
          </w:p>
        </w:tc>
        <w:tc>
          <w:tcPr>
            <w:tcW w:w="1667" w:type="pct"/>
            <w:vAlign w:val="top"/>
          </w:tcPr>
          <w:p w14:paraId="36A3C38A">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19.94%</w:t>
            </w:r>
          </w:p>
        </w:tc>
      </w:tr>
      <w:tr w14:paraId="6FA75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1667" w:type="pct"/>
            <w:vAlign w:val="top"/>
          </w:tcPr>
          <w:p w14:paraId="3AB8EAD8">
            <w:pPr>
              <w:snapToGrid w:val="0"/>
              <w:spacing w:before="120" w:beforeLines="50" w:line="300" w:lineRule="auto"/>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专科及以下</w:t>
            </w:r>
          </w:p>
        </w:tc>
        <w:tc>
          <w:tcPr>
            <w:tcW w:w="1667" w:type="pct"/>
            <w:vAlign w:val="top"/>
          </w:tcPr>
          <w:p w14:paraId="631643AC">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w:t>
            </w:r>
          </w:p>
        </w:tc>
        <w:tc>
          <w:tcPr>
            <w:tcW w:w="1667" w:type="pct"/>
            <w:vAlign w:val="top"/>
          </w:tcPr>
          <w:p w14:paraId="682F0A34">
            <w:pPr>
              <w:snapToGrid w:val="0"/>
              <w:spacing w:before="120" w:beforeLines="50" w:line="300" w:lineRule="auto"/>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0.31%</w:t>
            </w:r>
          </w:p>
        </w:tc>
      </w:tr>
    </w:tbl>
    <w:p w14:paraId="66EDECF0">
      <w:pPr>
        <w:pStyle w:val="5"/>
        <w:spacing w:before="120" w:after="12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数据来源：</w:t>
      </w:r>
      <w:r>
        <w:rPr>
          <w:rFonts w:hint="eastAsia" w:ascii="仿宋_GB2312" w:hAnsi="仿宋_GB2312" w:eastAsia="仿宋_GB2312" w:cs="仿宋_GB2312"/>
          <w:sz w:val="28"/>
          <w:szCs w:val="28"/>
          <w:lang w:val="en-US" w:eastAsia="zh-CN"/>
        </w:rPr>
        <w:t>状态数据采集平台</w:t>
      </w:r>
      <w:r>
        <w:rPr>
          <w:rFonts w:hint="eastAsia" w:ascii="仿宋_GB2312" w:hAnsi="仿宋_GB2312" w:eastAsia="仿宋_GB2312" w:cs="仿宋_GB2312"/>
          <w:sz w:val="28"/>
          <w:szCs w:val="28"/>
        </w:rPr>
        <w:t>。</w:t>
      </w:r>
    </w:p>
    <w:p w14:paraId="010435BC">
      <w:pPr>
        <w:rPr>
          <w:rFonts w:hint="eastAsia"/>
          <w:lang w:val="en-US" w:eastAsia="zh-CN"/>
        </w:rPr>
      </w:pPr>
      <w:r>
        <w:rPr>
          <w:rFonts w:hint="eastAsia" w:ascii="仿宋_GB2312" w:hAnsi="仿宋_GB2312" w:eastAsia="仿宋_GB2312" w:cs="仿宋_GB2312"/>
          <w:sz w:val="28"/>
          <w:szCs w:val="28"/>
          <w:lang w:val="en-US" w:eastAsia="zh-CN"/>
        </w:rPr>
        <w:t>3.双师型教师：学校现有双师型教师124人，占专任教师人数38.63%，其中，高级“双师型”教师为5人，占比4.03%，中级“双师型”教师为26人，占比20.97%，初级“双师型”教师为93人，占比为75%。</w:t>
      </w:r>
    </w:p>
    <w:p w14:paraId="2ED23E27">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4.教师企业实践、</w:t>
      </w:r>
      <w:bookmarkStart w:id="1" w:name="_GoBack"/>
      <w:bookmarkEnd w:id="1"/>
      <w:r>
        <w:rPr>
          <w:rFonts w:hint="eastAsia" w:ascii="仿宋_GB2312" w:hAnsi="仿宋_GB2312" w:eastAsia="仿宋_GB2312" w:cs="仿宋_GB2312"/>
          <w:sz w:val="28"/>
          <w:szCs w:val="28"/>
          <w:lang w:val="en-US" w:eastAsia="zh-CN"/>
        </w:rPr>
        <w:t>培训交流情况：</w:t>
      </w:r>
    </w:p>
    <w:tbl>
      <w:tblPr>
        <w:tblStyle w:val="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41"/>
        <w:gridCol w:w="2451"/>
        <w:gridCol w:w="2424"/>
      </w:tblGrid>
      <w:tr w14:paraId="78939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tcPr>
          <w:p w14:paraId="52A732E9">
            <w:pPr>
              <w:widowControl/>
              <w:spacing w:line="320" w:lineRule="exact"/>
              <w:jc w:val="center"/>
              <w:rPr>
                <w:rFonts w:hint="eastAsia" w:ascii="仿宋_GB2312" w:hAnsi="仿宋_GB2312" w:eastAsia="仿宋_GB2312" w:cs="仿宋_GB2312"/>
                <w:b/>
                <w:bCs/>
                <w:color w:val="000000"/>
                <w:kern w:val="0"/>
                <w:sz w:val="28"/>
                <w:szCs w:val="28"/>
                <w:highlight w:val="none"/>
              </w:rPr>
            </w:pPr>
            <w:r>
              <w:rPr>
                <w:rFonts w:hint="eastAsia" w:ascii="仿宋_GB2312" w:hAnsi="仿宋_GB2312" w:eastAsia="仿宋_GB2312" w:cs="仿宋_GB2312"/>
                <w:b/>
                <w:bCs/>
                <w:color w:val="000000"/>
                <w:kern w:val="0"/>
                <w:sz w:val="28"/>
                <w:szCs w:val="28"/>
                <w:highlight w:val="none"/>
              </w:rPr>
              <w:t>企业实践、培训、交流项目</w:t>
            </w:r>
          </w:p>
        </w:tc>
        <w:tc>
          <w:tcPr>
            <w:tcW w:w="1439" w:type="pct"/>
          </w:tcPr>
          <w:p w14:paraId="7358FF31">
            <w:pPr>
              <w:widowControl/>
              <w:spacing w:line="320" w:lineRule="exact"/>
              <w:jc w:val="center"/>
              <w:rPr>
                <w:rFonts w:hint="eastAsia" w:ascii="仿宋_GB2312" w:hAnsi="仿宋_GB2312" w:eastAsia="仿宋_GB2312" w:cs="仿宋_GB2312"/>
                <w:b/>
                <w:bCs/>
                <w:color w:val="000000"/>
                <w:kern w:val="0"/>
                <w:sz w:val="28"/>
                <w:szCs w:val="28"/>
                <w:highlight w:val="none"/>
              </w:rPr>
            </w:pPr>
            <w:r>
              <w:rPr>
                <w:rFonts w:hint="eastAsia" w:ascii="仿宋_GB2312" w:hAnsi="仿宋_GB2312" w:eastAsia="仿宋_GB2312" w:cs="仿宋_GB2312"/>
                <w:b/>
                <w:bCs/>
                <w:color w:val="000000"/>
                <w:kern w:val="0"/>
                <w:sz w:val="28"/>
                <w:szCs w:val="28"/>
                <w:highlight w:val="none"/>
              </w:rPr>
              <w:t>参与教师数（人次）</w:t>
            </w:r>
          </w:p>
        </w:tc>
        <w:tc>
          <w:tcPr>
            <w:tcW w:w="1423" w:type="pct"/>
          </w:tcPr>
          <w:p w14:paraId="3842DFE1">
            <w:pPr>
              <w:widowControl/>
              <w:spacing w:line="320" w:lineRule="exact"/>
              <w:jc w:val="center"/>
              <w:rPr>
                <w:rFonts w:hint="eastAsia" w:ascii="仿宋_GB2312" w:hAnsi="仿宋_GB2312" w:eastAsia="仿宋_GB2312" w:cs="仿宋_GB2312"/>
                <w:b/>
                <w:bCs/>
                <w:color w:val="000000"/>
                <w:kern w:val="0"/>
                <w:sz w:val="28"/>
                <w:szCs w:val="28"/>
                <w:highlight w:val="none"/>
              </w:rPr>
            </w:pPr>
            <w:r>
              <w:rPr>
                <w:rFonts w:hint="eastAsia" w:ascii="仿宋_GB2312" w:hAnsi="仿宋_GB2312" w:eastAsia="仿宋_GB2312" w:cs="仿宋_GB2312"/>
                <w:b/>
                <w:bCs/>
                <w:color w:val="000000"/>
                <w:kern w:val="0"/>
                <w:sz w:val="28"/>
                <w:szCs w:val="28"/>
                <w:highlight w:val="none"/>
              </w:rPr>
              <w:t>投入资金（万元）</w:t>
            </w:r>
          </w:p>
        </w:tc>
      </w:tr>
      <w:tr w14:paraId="25674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tcPr>
          <w:p w14:paraId="50EB811C">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国培</w:t>
            </w:r>
          </w:p>
        </w:tc>
        <w:tc>
          <w:tcPr>
            <w:tcW w:w="1439" w:type="pct"/>
          </w:tcPr>
          <w:p w14:paraId="75C4EB1B">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19</w:t>
            </w:r>
          </w:p>
        </w:tc>
        <w:tc>
          <w:tcPr>
            <w:tcW w:w="1423" w:type="pct"/>
          </w:tcPr>
          <w:p w14:paraId="1E7C6625">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2</w:t>
            </w:r>
          </w:p>
        </w:tc>
      </w:tr>
      <w:tr w14:paraId="1F75E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tcPr>
          <w:p w14:paraId="06E7A615">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访学进修</w:t>
            </w:r>
          </w:p>
        </w:tc>
        <w:tc>
          <w:tcPr>
            <w:tcW w:w="1439" w:type="pct"/>
          </w:tcPr>
          <w:p w14:paraId="7FDB2142">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20</w:t>
            </w:r>
          </w:p>
        </w:tc>
        <w:tc>
          <w:tcPr>
            <w:tcW w:w="1423" w:type="pct"/>
          </w:tcPr>
          <w:p w14:paraId="1497D292">
            <w:pPr>
              <w:widowControl/>
              <w:spacing w:line="320" w:lineRule="exact"/>
              <w:jc w:val="center"/>
              <w:rPr>
                <w:rFonts w:hint="default"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45</w:t>
            </w:r>
          </w:p>
        </w:tc>
      </w:tr>
      <w:tr w14:paraId="1E752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tcPr>
          <w:p w14:paraId="51261C6B">
            <w:pPr>
              <w:widowControl/>
              <w:spacing w:line="320" w:lineRule="exact"/>
              <w:jc w:val="center"/>
              <w:rPr>
                <w:rFonts w:hint="eastAsia"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党务培训</w:t>
            </w:r>
          </w:p>
        </w:tc>
        <w:tc>
          <w:tcPr>
            <w:tcW w:w="1439" w:type="pct"/>
          </w:tcPr>
          <w:p w14:paraId="3F23AF82">
            <w:pPr>
              <w:widowControl/>
              <w:spacing w:line="320" w:lineRule="exact"/>
              <w:jc w:val="center"/>
              <w:rPr>
                <w:rFonts w:hint="default"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118</w:t>
            </w:r>
          </w:p>
        </w:tc>
        <w:tc>
          <w:tcPr>
            <w:tcW w:w="1423" w:type="pct"/>
          </w:tcPr>
          <w:p w14:paraId="6B808DE8">
            <w:pPr>
              <w:widowControl/>
              <w:spacing w:line="320" w:lineRule="exact"/>
              <w:jc w:val="center"/>
              <w:rPr>
                <w:rFonts w:hint="default" w:ascii="仿宋_GB2312" w:hAnsi="仿宋_GB2312" w:eastAsia="仿宋_GB2312" w:cs="仿宋_GB2312"/>
                <w:color w:val="000000"/>
                <w:kern w:val="0"/>
                <w:sz w:val="28"/>
                <w:szCs w:val="28"/>
                <w:highlight w:val="none"/>
                <w:lang w:val="en-US" w:eastAsia="zh-CN"/>
              </w:rPr>
            </w:pPr>
            <w:r>
              <w:rPr>
                <w:rFonts w:hint="eastAsia" w:ascii="仿宋_GB2312" w:hAnsi="仿宋_GB2312" w:eastAsia="仿宋_GB2312" w:cs="仿宋_GB2312"/>
                <w:color w:val="000000"/>
                <w:kern w:val="0"/>
                <w:sz w:val="28"/>
                <w:szCs w:val="28"/>
                <w:highlight w:val="none"/>
                <w:lang w:val="en-US" w:eastAsia="zh-CN"/>
              </w:rPr>
              <w:t>0.5</w:t>
            </w:r>
          </w:p>
        </w:tc>
      </w:tr>
      <w:tr w14:paraId="306CB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shd w:val="clear"/>
            <w:vAlign w:val="top"/>
          </w:tcPr>
          <w:p w14:paraId="5B8BDA67">
            <w:pPr>
              <w:widowControl/>
              <w:spacing w:line="320" w:lineRule="exact"/>
              <w:jc w:val="center"/>
              <w:rPr>
                <w:rFonts w:hint="eastAsia" w:ascii="仿宋_GB2312" w:hAnsi="仿宋_GB2312" w:eastAsia="仿宋_GB2312" w:cs="仿宋_GB2312"/>
                <w:color w:val="000000"/>
                <w:kern w:val="0"/>
                <w:sz w:val="28"/>
                <w:szCs w:val="28"/>
                <w:highlight w:val="none"/>
                <w:lang w:val="en-US" w:eastAsia="zh-CN" w:bidi="ar-SA"/>
              </w:rPr>
            </w:pPr>
            <w:r>
              <w:rPr>
                <w:rFonts w:hint="eastAsia" w:ascii="仿宋_GB2312" w:hAnsi="仿宋_GB2312" w:eastAsia="仿宋_GB2312" w:cs="仿宋_GB2312"/>
                <w:color w:val="000000"/>
                <w:kern w:val="0"/>
                <w:sz w:val="28"/>
                <w:szCs w:val="28"/>
                <w:highlight w:val="none"/>
                <w:lang w:val="en-US" w:eastAsia="zh-CN"/>
              </w:rPr>
              <w:t>教师各项业务培训</w:t>
            </w:r>
          </w:p>
        </w:tc>
        <w:tc>
          <w:tcPr>
            <w:tcW w:w="1439" w:type="pct"/>
            <w:shd w:val="clear"/>
            <w:vAlign w:val="top"/>
          </w:tcPr>
          <w:p w14:paraId="65131AF3">
            <w:pPr>
              <w:widowControl/>
              <w:spacing w:line="320" w:lineRule="exact"/>
              <w:jc w:val="center"/>
              <w:rPr>
                <w:rFonts w:hint="default" w:ascii="仿宋_GB2312" w:hAnsi="仿宋_GB2312" w:eastAsia="仿宋_GB2312" w:cs="仿宋_GB2312"/>
                <w:color w:val="000000"/>
                <w:kern w:val="0"/>
                <w:sz w:val="28"/>
                <w:szCs w:val="28"/>
                <w:highlight w:val="none"/>
                <w:lang w:val="en-US" w:eastAsia="zh-CN" w:bidi="ar-SA"/>
              </w:rPr>
            </w:pPr>
            <w:r>
              <w:rPr>
                <w:rFonts w:hint="eastAsia" w:ascii="仿宋_GB2312" w:hAnsi="仿宋_GB2312" w:eastAsia="仿宋_GB2312" w:cs="仿宋_GB2312"/>
                <w:color w:val="000000"/>
                <w:kern w:val="0"/>
                <w:sz w:val="28"/>
                <w:szCs w:val="28"/>
                <w:highlight w:val="none"/>
                <w:lang w:val="en-US" w:eastAsia="zh-CN"/>
              </w:rPr>
              <w:t>120</w:t>
            </w:r>
          </w:p>
        </w:tc>
        <w:tc>
          <w:tcPr>
            <w:tcW w:w="1423" w:type="pct"/>
            <w:shd w:val="clear"/>
            <w:vAlign w:val="top"/>
          </w:tcPr>
          <w:p w14:paraId="44B36CD1">
            <w:pPr>
              <w:widowControl/>
              <w:spacing w:line="320" w:lineRule="exact"/>
              <w:jc w:val="center"/>
              <w:rPr>
                <w:rFonts w:hint="default" w:ascii="仿宋_GB2312" w:hAnsi="仿宋_GB2312" w:eastAsia="仿宋_GB2312" w:cs="仿宋_GB2312"/>
                <w:color w:val="000000"/>
                <w:kern w:val="0"/>
                <w:sz w:val="28"/>
                <w:szCs w:val="28"/>
                <w:highlight w:val="none"/>
                <w:lang w:val="en-US" w:eastAsia="zh-CN" w:bidi="ar-SA"/>
              </w:rPr>
            </w:pPr>
            <w:r>
              <w:rPr>
                <w:rFonts w:hint="eastAsia" w:ascii="仿宋_GB2312" w:hAnsi="仿宋_GB2312" w:eastAsia="仿宋_GB2312" w:cs="仿宋_GB2312"/>
                <w:color w:val="000000"/>
                <w:kern w:val="0"/>
                <w:sz w:val="28"/>
                <w:szCs w:val="28"/>
                <w:highlight w:val="none"/>
                <w:lang w:val="en-US" w:eastAsia="zh-CN"/>
              </w:rPr>
              <w:t>32.5</w:t>
            </w:r>
          </w:p>
        </w:tc>
      </w:tr>
      <w:tr w14:paraId="670AB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0" w:hRule="atLeast"/>
          <w:jc w:val="center"/>
        </w:trPr>
        <w:tc>
          <w:tcPr>
            <w:tcW w:w="2137" w:type="pct"/>
          </w:tcPr>
          <w:p w14:paraId="79B5079E">
            <w:pPr>
              <w:widowControl/>
              <w:spacing w:line="320" w:lineRule="exact"/>
              <w:jc w:val="center"/>
              <w:rPr>
                <w:rFonts w:hint="eastAsia" w:ascii="仿宋_GB2312" w:hAnsi="仿宋_GB2312" w:eastAsia="仿宋_GB2312" w:cs="仿宋_GB2312"/>
                <w:b/>
                <w:color w:val="000000"/>
                <w:kern w:val="0"/>
                <w:sz w:val="28"/>
                <w:szCs w:val="28"/>
                <w:highlight w:val="none"/>
              </w:rPr>
            </w:pPr>
            <w:r>
              <w:rPr>
                <w:rFonts w:hint="eastAsia" w:ascii="仿宋_GB2312" w:hAnsi="仿宋_GB2312" w:eastAsia="仿宋_GB2312" w:cs="仿宋_GB2312"/>
                <w:b/>
                <w:color w:val="000000"/>
                <w:kern w:val="0"/>
                <w:sz w:val="28"/>
                <w:szCs w:val="28"/>
                <w:highlight w:val="none"/>
              </w:rPr>
              <w:t>合计</w:t>
            </w:r>
          </w:p>
        </w:tc>
        <w:tc>
          <w:tcPr>
            <w:tcW w:w="1439" w:type="pct"/>
          </w:tcPr>
          <w:p w14:paraId="30F2202D">
            <w:pPr>
              <w:widowControl/>
              <w:spacing w:line="320" w:lineRule="exact"/>
              <w:jc w:val="center"/>
              <w:rPr>
                <w:rFonts w:hint="default" w:ascii="仿宋_GB2312" w:hAnsi="仿宋_GB2312" w:eastAsia="仿宋_GB2312" w:cs="仿宋_GB2312"/>
                <w:b/>
                <w:color w:val="000000"/>
                <w:kern w:val="0"/>
                <w:sz w:val="28"/>
                <w:szCs w:val="28"/>
                <w:highlight w:val="none"/>
                <w:lang w:val="en-US" w:eastAsia="zh-CN"/>
              </w:rPr>
            </w:pPr>
            <w:r>
              <w:rPr>
                <w:rFonts w:hint="eastAsia" w:ascii="仿宋_GB2312" w:hAnsi="仿宋_GB2312" w:eastAsia="仿宋_GB2312" w:cs="仿宋_GB2312"/>
                <w:b/>
                <w:color w:val="000000"/>
                <w:kern w:val="0"/>
                <w:sz w:val="28"/>
                <w:szCs w:val="28"/>
                <w:highlight w:val="none"/>
                <w:lang w:val="en-US" w:eastAsia="zh-CN"/>
              </w:rPr>
              <w:t>277</w:t>
            </w:r>
          </w:p>
        </w:tc>
        <w:tc>
          <w:tcPr>
            <w:tcW w:w="1423" w:type="pct"/>
          </w:tcPr>
          <w:p w14:paraId="53C927DA">
            <w:pPr>
              <w:widowControl/>
              <w:spacing w:line="320" w:lineRule="exact"/>
              <w:jc w:val="center"/>
              <w:rPr>
                <w:rFonts w:hint="default" w:ascii="仿宋_GB2312" w:hAnsi="仿宋_GB2312" w:eastAsia="仿宋_GB2312" w:cs="仿宋_GB2312"/>
                <w:b/>
                <w:color w:val="000000"/>
                <w:kern w:val="0"/>
                <w:sz w:val="28"/>
                <w:szCs w:val="28"/>
                <w:highlight w:val="none"/>
                <w:lang w:val="en-US" w:eastAsia="zh-CN"/>
              </w:rPr>
            </w:pPr>
            <w:r>
              <w:rPr>
                <w:rFonts w:hint="eastAsia" w:ascii="仿宋_GB2312" w:hAnsi="仿宋_GB2312" w:eastAsia="仿宋_GB2312" w:cs="仿宋_GB2312"/>
                <w:b/>
                <w:color w:val="000000"/>
                <w:kern w:val="0"/>
                <w:sz w:val="28"/>
                <w:szCs w:val="28"/>
                <w:highlight w:val="none"/>
                <w:lang w:val="en-US" w:eastAsia="zh-CN"/>
              </w:rPr>
              <w:t>80</w:t>
            </w:r>
          </w:p>
        </w:tc>
      </w:tr>
    </w:tbl>
    <w:p w14:paraId="5300A759">
      <w:pPr>
        <w:pStyle w:val="5"/>
        <w:spacing w:before="120" w:after="120"/>
        <w:jc w:val="left"/>
        <w:rPr>
          <w:rFonts w:hint="default"/>
          <w:lang w:val="en-US" w:eastAsia="zh-CN"/>
        </w:rPr>
      </w:pPr>
      <w:r>
        <w:rPr>
          <w:rFonts w:hint="eastAsia" w:ascii="仿宋_GB2312" w:hAnsi="仿宋_GB2312" w:eastAsia="仿宋_GB2312" w:cs="仿宋_GB2312"/>
          <w:sz w:val="28"/>
          <w:szCs w:val="28"/>
        </w:rPr>
        <w:t>数据来源：</w:t>
      </w:r>
      <w:r>
        <w:rPr>
          <w:rFonts w:hint="eastAsia" w:ascii="仿宋_GB2312" w:hAnsi="仿宋_GB2312" w:eastAsia="仿宋_GB2312" w:cs="仿宋_GB2312"/>
          <w:sz w:val="28"/>
          <w:szCs w:val="28"/>
          <w:lang w:val="en-US" w:eastAsia="zh-CN"/>
        </w:rPr>
        <w:t>状态数据采集平台</w:t>
      </w:r>
      <w:r>
        <w:rPr>
          <w:rFonts w:hint="eastAsia" w:ascii="仿宋_GB2312" w:hAnsi="仿宋_GB2312" w:eastAsia="仿宋_GB2312" w:cs="仿宋_GB2312"/>
          <w:sz w:val="28"/>
          <w:szCs w:val="28"/>
        </w:rPr>
        <w:t>。</w:t>
      </w:r>
    </w:p>
    <w:p w14:paraId="311252C2">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5.行业导师数据：2024-2025学年行业导师63人，其中高级职称20人，中级职称21人，初级及以下22人，博士学位1人,硕士学位13人,学士及以下49人。</w:t>
      </w:r>
    </w:p>
    <w:p w14:paraId="4A43628C">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6.“双师型”教师队伍建设：</w:t>
      </w:r>
    </w:p>
    <w:p w14:paraId="0BA5457B">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成立专门机构：为进一步建设高水平、高素质的双师型教师队伍，学校于2024年成立党委教师工作委员会和党委教师工作部，主要负责师资队伍建设与教师专业发展工作。</w:t>
      </w:r>
    </w:p>
    <w:p w14:paraId="3F05D37B">
      <w:pPr>
        <w:ind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纳入发展规划：</w:t>
      </w:r>
      <w:r>
        <w:rPr>
          <w:rFonts w:hint="eastAsia" w:ascii="仿宋_GB2312" w:hAnsi="仿宋_GB2312" w:eastAsia="仿宋_GB2312" w:cs="仿宋_GB2312"/>
          <w:sz w:val="28"/>
          <w:szCs w:val="28"/>
          <w:lang w:val="en-US" w:eastAsia="zh-CN"/>
        </w:rPr>
        <w:t>“双师型”教师队伍建设作为学校师资队伍发展的核心内容，已纳入到学校“十四五”师资发展规划中，通过</w:t>
      </w:r>
      <w:r>
        <w:rPr>
          <w:rFonts w:hint="default" w:ascii="仿宋_GB2312" w:hAnsi="仿宋_GB2312" w:eastAsia="仿宋_GB2312" w:cs="仿宋_GB2312"/>
          <w:sz w:val="28"/>
          <w:szCs w:val="28"/>
          <w:lang w:val="en-US" w:eastAsia="zh-CN"/>
        </w:rPr>
        <w:t>设定明确的建设目标、比例要求和时间</w:t>
      </w:r>
      <w:r>
        <w:rPr>
          <w:rFonts w:hint="eastAsia" w:ascii="仿宋_GB2312" w:hAnsi="仿宋_GB2312" w:eastAsia="仿宋_GB2312" w:cs="仿宋_GB2312"/>
          <w:sz w:val="28"/>
          <w:szCs w:val="28"/>
          <w:lang w:val="en-US" w:eastAsia="zh-CN"/>
        </w:rPr>
        <w:t>计划，提升教师的事件教学能力和行业实践能力</w:t>
      </w:r>
      <w:r>
        <w:rPr>
          <w:rFonts w:hint="default" w:ascii="仿宋_GB2312" w:hAnsi="仿宋_GB2312" w:eastAsia="仿宋_GB2312" w:cs="仿宋_GB2312"/>
          <w:sz w:val="28"/>
          <w:szCs w:val="28"/>
          <w:lang w:val="en-US" w:eastAsia="zh-CN"/>
        </w:rPr>
        <w:t>。</w:t>
      </w:r>
    </w:p>
    <w:p w14:paraId="27BEA858">
      <w:pPr>
        <w:ind w:firstLine="560"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明确标准体系</w:t>
      </w:r>
      <w:r>
        <w:rPr>
          <w:rFonts w:hint="default"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val="en-US" w:eastAsia="zh-CN"/>
        </w:rPr>
        <w:t>学校</w:t>
      </w:r>
      <w:r>
        <w:rPr>
          <w:rFonts w:hint="default" w:ascii="仿宋_GB2312" w:hAnsi="仿宋_GB2312" w:eastAsia="仿宋_GB2312" w:cs="仿宋_GB2312"/>
          <w:sz w:val="28"/>
          <w:szCs w:val="28"/>
          <w:lang w:val="en-US" w:eastAsia="zh-CN"/>
        </w:rPr>
        <w:t>印发《专任教师教师赴企业实践管理办法》，鼓励教师赴企业实践锻炼，推动双向互通机制常态化运行。印发《“双师型”教师认定办法（试行）》，明确校级</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双师型</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教师认定标准、流程和结果运用，进一步加强我校教师实践教学能力。为青年教师提供学习进修渠道和培训机会，促进他们在教学和科研方面取得突破；按照突出专业特色、分类组织实施的原则，充分发挥各教学单位、教研室在教师培训工作中的主导作用，以学院为单位组织开展针对性培训。</w:t>
      </w:r>
    </w:p>
    <w:p w14:paraId="24A02D6A">
      <w:pPr>
        <w:ind w:firstLine="560"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 xml:space="preserve">加大实践力度：学校积极鼓励教师参与各种实践活动，通过设置专项经费，组织教师积极参加各项实践项目。学校目前选派2位教师参加安徽省高校理工科教师赴企业实践项目，1位教师正在申报中，暑假期间选派2位教师参加安徽省高等职业院校教师素质提高计划 </w:t>
      </w:r>
      <w:r>
        <w:rPr>
          <w:rFonts w:hint="default" w:ascii="仿宋_GB2312" w:hAnsi="仿宋_GB2312" w:eastAsia="仿宋_GB2312" w:cs="仿宋_GB2312"/>
          <w:sz w:val="28"/>
          <w:szCs w:val="28"/>
          <w:lang w:val="en-US" w:eastAsia="zh-CN"/>
        </w:rPr>
        <w:t>2025 年度国家级</w:t>
      </w:r>
      <w:r>
        <w:rPr>
          <w:rFonts w:hint="eastAsia" w:ascii="仿宋_GB2312" w:hAnsi="仿宋_GB2312" w:eastAsia="仿宋_GB2312" w:cs="仿宋_GB2312"/>
          <w:sz w:val="28"/>
          <w:szCs w:val="28"/>
          <w:lang w:val="en-US" w:eastAsia="zh-CN"/>
        </w:rPr>
        <w:t>（企业实践）</w:t>
      </w:r>
      <w:r>
        <w:rPr>
          <w:rFonts w:hint="default" w:ascii="仿宋_GB2312" w:hAnsi="仿宋_GB2312" w:eastAsia="仿宋_GB2312" w:cs="仿宋_GB2312"/>
          <w:sz w:val="28"/>
          <w:szCs w:val="28"/>
          <w:lang w:val="en-US" w:eastAsia="zh-CN"/>
        </w:rPr>
        <w:t>项目</w:t>
      </w:r>
      <w:r>
        <w:rPr>
          <w:rFonts w:hint="eastAsia" w:ascii="仿宋_GB2312" w:hAnsi="仿宋_GB2312" w:eastAsia="仿宋_GB2312" w:cs="仿宋_GB2312"/>
          <w:sz w:val="28"/>
          <w:szCs w:val="28"/>
          <w:lang w:val="en-US" w:eastAsia="zh-CN"/>
        </w:rPr>
        <w:t>，组织34位教师借助寒暑假期间参加企事业单位实践。加强兼职教师队伍建设，聘请企业（包含幼儿园、中小学、医院等）一线兼职教师，优化学校师资结构。</w:t>
      </w:r>
    </w:p>
    <w:p w14:paraId="76657F51">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7.行业导师、企业兼职教师队伍建设：</w:t>
      </w:r>
    </w:p>
    <w:p w14:paraId="4A43D582">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学校</w:t>
      </w:r>
      <w:r>
        <w:rPr>
          <w:rFonts w:hint="default" w:ascii="仿宋_GB2312" w:hAnsi="仿宋_GB2312" w:eastAsia="仿宋_GB2312" w:cs="仿宋_GB2312"/>
          <w:sz w:val="28"/>
          <w:szCs w:val="28"/>
          <w:lang w:val="en-US" w:eastAsia="zh-CN"/>
        </w:rPr>
        <w:t>印发《</w:t>
      </w:r>
      <w:r>
        <w:rPr>
          <w:rFonts w:hint="eastAsia" w:ascii="仿宋_GB2312" w:hAnsi="仿宋_GB2312" w:eastAsia="仿宋_GB2312" w:cs="仿宋_GB2312"/>
          <w:sz w:val="28"/>
          <w:szCs w:val="28"/>
          <w:lang w:val="en-US" w:eastAsia="zh-CN"/>
        </w:rPr>
        <w:t>阜阳幼儿师范高等专科学校</w:t>
      </w:r>
      <w:r>
        <w:rPr>
          <w:rFonts w:hint="default" w:ascii="仿宋_GB2312" w:hAnsi="仿宋_GB2312" w:eastAsia="仿宋_GB2312" w:cs="仿宋_GB2312"/>
          <w:sz w:val="28"/>
          <w:szCs w:val="28"/>
          <w:lang w:val="en-US" w:eastAsia="zh-CN"/>
        </w:rPr>
        <w:t>专任教师教师赴企业实践管理办法》</w:t>
      </w:r>
      <w:r>
        <w:rPr>
          <w:rFonts w:hint="eastAsia" w:ascii="仿宋_GB2312" w:hAnsi="仿宋_GB2312" w:eastAsia="仿宋_GB2312" w:cs="仿宋_GB2312"/>
          <w:sz w:val="28"/>
          <w:szCs w:val="28"/>
          <w:lang w:val="en-US" w:eastAsia="zh-CN"/>
        </w:rPr>
        <w:t>、《阜阳幼儿师范高等专科学校教职工校外兼职管理办法（试行）》等</w:t>
      </w:r>
      <w:r>
        <w:rPr>
          <w:rFonts w:hint="default"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val="en-US" w:eastAsia="zh-CN"/>
        </w:rPr>
        <w:t>通过鼓励教师申报安徽省“科技副总”、“产业教授”等形式</w:t>
      </w:r>
      <w:r>
        <w:rPr>
          <w:rFonts w:hint="default" w:ascii="仿宋_GB2312" w:hAnsi="仿宋_GB2312" w:eastAsia="仿宋_GB2312" w:cs="仿宋_GB2312"/>
          <w:sz w:val="28"/>
          <w:szCs w:val="28"/>
          <w:lang w:val="en-US" w:eastAsia="zh-CN"/>
        </w:rPr>
        <w:t>推动双向互通机制常态化运行</w:t>
      </w:r>
      <w:r>
        <w:rPr>
          <w:rFonts w:hint="eastAsia" w:ascii="仿宋_GB2312" w:hAnsi="仿宋_GB2312" w:eastAsia="仿宋_GB2312" w:cs="仿宋_GB2312"/>
          <w:sz w:val="28"/>
          <w:szCs w:val="28"/>
          <w:lang w:val="en-US" w:eastAsia="zh-CN"/>
        </w:rPr>
        <w:t>，加强兼职教师队伍建设，聘请企业（包含幼儿园、中小学、医院等）一线兼职教师，优化学校师资结构。</w:t>
      </w:r>
    </w:p>
    <w:p w14:paraId="0886C3C8">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8.高层次人才队伍建设：</w:t>
      </w:r>
    </w:p>
    <w:p w14:paraId="56A56910">
      <w:pPr>
        <w:ind w:firstLine="560" w:firstLineChars="200"/>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内引外培，加大引培力度：2024-2025学年，学校</w:t>
      </w:r>
      <w:r>
        <w:rPr>
          <w:rFonts w:hint="default" w:ascii="仿宋_GB2312" w:hAnsi="仿宋_GB2312" w:eastAsia="仿宋_GB2312" w:cs="仿宋_GB2312"/>
          <w:sz w:val="28"/>
          <w:szCs w:val="28"/>
          <w:lang w:val="en-US" w:eastAsia="zh-CN"/>
        </w:rPr>
        <w:t>通过公开招聘、人才引进定向选调生、参与</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招才引智高校行</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活动等方式补充教师22名, 选派3名教师攻读博士，</w:t>
      </w:r>
      <w:r>
        <w:rPr>
          <w:rFonts w:hint="eastAsia" w:ascii="仿宋_GB2312" w:hAnsi="仿宋_GB2312" w:eastAsia="仿宋_GB2312" w:cs="仿宋_GB2312"/>
          <w:sz w:val="28"/>
          <w:szCs w:val="28"/>
          <w:lang w:val="en-US" w:eastAsia="zh-CN"/>
        </w:rPr>
        <w:t>另</w:t>
      </w:r>
      <w:r>
        <w:rPr>
          <w:rFonts w:hint="default" w:ascii="仿宋_GB2312" w:hAnsi="仿宋_GB2312" w:eastAsia="仿宋_GB2312" w:cs="仿宋_GB2312"/>
          <w:sz w:val="28"/>
          <w:szCs w:val="28"/>
          <w:lang w:val="en-US" w:eastAsia="zh-CN"/>
        </w:rPr>
        <w:t>有2名教师完成学业回校。第二批公开招聘已启动并完成笔试环节，计划招聘16人。</w:t>
      </w:r>
    </w:p>
    <w:p w14:paraId="3BE2CB36">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完善制度，</w:t>
      </w:r>
      <w:r>
        <w:rPr>
          <w:rFonts w:hint="default" w:ascii="仿宋_GB2312" w:hAnsi="仿宋_GB2312" w:eastAsia="仿宋_GB2312" w:cs="仿宋_GB2312"/>
          <w:sz w:val="28"/>
          <w:szCs w:val="28"/>
          <w:lang w:val="en-US" w:eastAsia="zh-CN"/>
        </w:rPr>
        <w:t>人才结构持续优化</w:t>
      </w:r>
      <w:r>
        <w:rPr>
          <w:rFonts w:hint="eastAsia" w:ascii="仿宋_GB2312" w:hAnsi="仿宋_GB2312" w:eastAsia="仿宋_GB2312" w:cs="仿宋_GB2312"/>
          <w:sz w:val="28"/>
          <w:szCs w:val="28"/>
          <w:lang w:val="en-US" w:eastAsia="zh-CN"/>
        </w:rPr>
        <w:t>：为进一步贯彻落实人才兴校战略，学校于2024-2025学年印发《高层次人才引进与管理办法》、《柔性引进高层次人才实施方案》等文件，通过完善制度，提高人才待遇，多渠道引进海内外优秀学者，进一步提升学校人才队伍水平，截至目前为止，已</w:t>
      </w:r>
      <w:r>
        <w:rPr>
          <w:rFonts w:hint="default" w:ascii="仿宋_GB2312" w:hAnsi="仿宋_GB2312" w:eastAsia="仿宋_GB2312" w:cs="仿宋_GB2312"/>
          <w:sz w:val="28"/>
          <w:szCs w:val="28"/>
          <w:lang w:val="en-US" w:eastAsia="zh-CN"/>
        </w:rPr>
        <w:t>全职引进博士副教授1人</w:t>
      </w:r>
      <w:r>
        <w:rPr>
          <w:rFonts w:hint="eastAsia" w:ascii="仿宋_GB2312" w:hAnsi="仿宋_GB2312" w:eastAsia="仿宋_GB2312" w:cs="仿宋_GB2312"/>
          <w:sz w:val="28"/>
          <w:szCs w:val="28"/>
          <w:lang w:val="en-US" w:eastAsia="zh-CN"/>
        </w:rPr>
        <w:t>，</w:t>
      </w:r>
      <w:r>
        <w:rPr>
          <w:rFonts w:hint="default" w:ascii="仿宋_GB2312" w:hAnsi="仿宋_GB2312" w:eastAsia="仿宋_GB2312" w:cs="仿宋_GB2312"/>
          <w:sz w:val="28"/>
          <w:szCs w:val="28"/>
          <w:lang w:val="en-US" w:eastAsia="zh-CN"/>
        </w:rPr>
        <w:t>柔性引进苏州工业职业技术学院刘某军博士作为我校人工智能与信息学院科研副院长、专业带头人</w:t>
      </w:r>
      <w:r>
        <w:rPr>
          <w:rFonts w:hint="eastAsia" w:ascii="仿宋_GB2312" w:hAnsi="仿宋_GB2312" w:eastAsia="仿宋_GB2312" w:cs="仿宋_GB2312"/>
          <w:sz w:val="28"/>
          <w:szCs w:val="28"/>
          <w:lang w:val="en-US" w:eastAsia="zh-CN"/>
        </w:rPr>
        <w:t>。</w:t>
      </w:r>
    </w:p>
    <w:p w14:paraId="32C8E0A0">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9.附表6相关数据：</w:t>
      </w:r>
    </w:p>
    <w:p w14:paraId="1F835928">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编制数：我校现有编制326个。</w:t>
      </w:r>
    </w:p>
    <w:p w14:paraId="42A53E0E">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教职工总数：我校现有教职工总数368人。</w:t>
      </w:r>
    </w:p>
    <w:p w14:paraId="2E3A1903">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专任教师数：321人</w:t>
      </w:r>
    </w:p>
    <w:p w14:paraId="33A88BB5">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思政教师数：18人</w:t>
      </w:r>
    </w:p>
    <w:p w14:paraId="4AECA3A8">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体育教师数：19人</w:t>
      </w:r>
    </w:p>
    <w:p w14:paraId="51F1436A">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美育教师数：69人</w:t>
      </w:r>
    </w:p>
    <w:p w14:paraId="325CF1F1">
      <w:pP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辅导员：33人</w:t>
      </w:r>
    </w:p>
    <w:p w14:paraId="13AB19E0">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班主任：48人</w:t>
      </w:r>
    </w:p>
    <w:p w14:paraId="58925513">
      <w:pPr>
        <w:rPr>
          <w:rFonts w:hint="default"/>
          <w:lang w:val="en-US" w:eastAsia="zh-CN"/>
        </w:rPr>
      </w:pPr>
    </w:p>
    <w:p w14:paraId="22169E9B">
      <w:pPr>
        <w:rPr>
          <w:rFonts w:hint="default" w:ascii="方正小标宋_GBK" w:hAnsi="方正小标宋_GBK" w:eastAsia="方正小标宋_GBK" w:cs="方正小标宋_GBK"/>
          <w:sz w:val="32"/>
          <w:szCs w:val="40"/>
          <w:lang w:val="en-US" w:eastAsia="zh-CN"/>
        </w:rPr>
      </w:pPr>
      <w:r>
        <w:rPr>
          <w:rFonts w:hint="eastAsia" w:ascii="方正小标宋_GBK" w:hAnsi="方正小标宋_GBK" w:eastAsia="方正小标宋_GBK" w:cs="方正小标宋_GBK"/>
          <w:sz w:val="32"/>
          <w:szCs w:val="40"/>
          <w:lang w:val="en-US" w:eastAsia="zh-CN"/>
        </w:rPr>
        <w:t>二、党建工作材料</w:t>
      </w:r>
    </w:p>
    <w:p w14:paraId="386AB7E5">
      <w:pPr>
        <w:jc w:val="center"/>
        <w:rPr>
          <w:rFonts w:hint="eastAsia" w:ascii="方正小标宋_GBK" w:hAnsi="方正小标宋_GBK" w:eastAsia="方正小标宋_GBK" w:cs="方正小标宋_GBK"/>
          <w:sz w:val="32"/>
          <w:szCs w:val="40"/>
          <w:lang w:val="en-US" w:eastAsia="zh-CN"/>
        </w:rPr>
      </w:pPr>
      <w:r>
        <w:rPr>
          <w:rFonts w:hint="eastAsia" w:ascii="方正小标宋_GBK" w:hAnsi="方正小标宋_GBK" w:eastAsia="方正小标宋_GBK" w:cs="方正小标宋_GBK"/>
          <w:sz w:val="32"/>
          <w:szCs w:val="40"/>
          <w:lang w:val="en-US" w:eastAsia="zh-CN"/>
        </w:rPr>
        <w:t>深化理论学习教育 夯实基层组织堡垒</w:t>
      </w:r>
    </w:p>
    <w:p w14:paraId="1FADCA9C">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铸魂赋能强根基，理论武装走深走实。深入学习贯彻习近平总书记关于深入贯彻中央八项规定精神学习教育的重要讲话和重要指示精神，结合学校实际制定</w:t>
      </w:r>
      <w:bookmarkStart w:id="0" w:name="OLE_LINK6"/>
      <w:r>
        <w:rPr>
          <w:rFonts w:hint="eastAsia" w:ascii="仿宋_GB2312" w:hAnsi="仿宋_GB2312" w:eastAsia="仿宋_GB2312" w:cs="仿宋_GB2312"/>
          <w:sz w:val="28"/>
          <w:szCs w:val="28"/>
          <w:lang w:val="en-US" w:eastAsia="zh-CN"/>
        </w:rPr>
        <w:t>《学习教育实施方案</w:t>
      </w:r>
      <w:bookmarkEnd w:id="0"/>
      <w:r>
        <w:rPr>
          <w:rFonts w:hint="eastAsia" w:ascii="仿宋_GB2312" w:hAnsi="仿宋_GB2312" w:eastAsia="仿宋_GB2312" w:cs="仿宋_GB2312"/>
          <w:sz w:val="28"/>
          <w:szCs w:val="28"/>
          <w:lang w:val="en-US" w:eastAsia="zh-CN"/>
        </w:rPr>
        <w:t xml:space="preserve">》和《学习教育工作行事历》，明确重点工作任务和责任单位。校党委带头开展理论学习18次，各党支部书记联系实际讲党课，覆盖党员干部300余人次。  </w:t>
      </w:r>
    </w:p>
    <w:p w14:paraId="71C8A784">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固本强基筑堡垒，组织建设提质增效。优化基层党组织设置，实现学校党支部星级管理全覆盖。完成四个学院基层党组织的换届工作，为两个学院配备组织员，夯实基层工作基础；推进校级“双带头人”教师党支部书记工作室培育工作，加强对省级立项“双带头人”教师党支部书记“强国行”专项行动的党组织管理工作。马克思主义学院党支部作为第二批全省高校党建“样板支部”培育建设单位，已于2025年顺利完成验收；规范党员发展程序，全年发展党员48人。</w:t>
      </w:r>
    </w:p>
    <w:p w14:paraId="022851B6">
      <w:pPr>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坚持严的主基调不动摇，持之以恒加强作风建设。以深入贯彻中央八项规定精神学习教育为契机，开展集中整治，推动作风建设常态化长效化。</w:t>
      </w:r>
    </w:p>
    <w:sectPr>
      <w:pgSz w:w="11906" w:h="16838"/>
      <w:pgMar w:top="1440" w:right="1803" w:bottom="1440" w:left="1803" w:header="851" w:footer="992" w:gutter="0"/>
      <w:cols w:space="0" w:num="1"/>
      <w:rtlGutter w:val="0"/>
      <w:docGrid w:type="lines" w:linePitch="3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方正小标宋_GBK">
    <w:panose1 w:val="02000000000000000000"/>
    <w:charset w:val="86"/>
    <w:family w:val="auto"/>
    <w:pitch w:val="default"/>
    <w:sig w:usb0="A00002BF" w:usb1="38CF7CFA" w:usb2="00082016" w:usb3="00000000" w:csb0="00040001" w:csb1="00000000"/>
    <w:embedRegular r:id="rId1" w:fontKey="{85715BA1-B63C-4700-B2BD-4C13C54465BB}"/>
  </w:font>
  <w:font w:name="仿宋_GB2312">
    <w:panose1 w:val="02010609030101010101"/>
    <w:charset w:val="86"/>
    <w:family w:val="auto"/>
    <w:pitch w:val="default"/>
    <w:sig w:usb0="00000001" w:usb1="080E0000" w:usb2="00000000" w:usb3="00000000" w:csb0="00040000" w:csb1="00000000"/>
    <w:embedRegular r:id="rId2" w:fontKey="{C923B60A-2B9F-4072-93A2-8BB4626B17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F10B50"/>
    <w:rsid w:val="04F10FAD"/>
    <w:rsid w:val="0AF10B50"/>
    <w:rsid w:val="10B6226B"/>
    <w:rsid w:val="22840F7D"/>
    <w:rsid w:val="22882726"/>
    <w:rsid w:val="32172085"/>
    <w:rsid w:val="351D0231"/>
    <w:rsid w:val="548E2634"/>
    <w:rsid w:val="7CCA0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rPr>
      <w:rFonts w:eastAsia="仿宋"/>
    </w:rPr>
  </w:style>
  <w:style w:type="paragraph" w:styleId="4">
    <w:name w:val="Body Text Indent"/>
    <w:basedOn w:val="1"/>
    <w:next w:val="3"/>
    <w:qFormat/>
    <w:uiPriority w:val="0"/>
    <w:pPr>
      <w:widowControl w:val="0"/>
      <w:kinsoku/>
      <w:autoSpaceDE/>
      <w:autoSpaceDN/>
      <w:adjustRightInd/>
      <w:snapToGrid/>
      <w:ind w:firstLine="454"/>
      <w:jc w:val="both"/>
      <w:textAlignment w:val="auto"/>
    </w:pPr>
    <w:rPr>
      <w:rFonts w:ascii="等线" w:hAnsi="等线" w:eastAsia="等线" w:cs="Times New Roman"/>
      <w:snapToGrid/>
      <w:color w:val="auto"/>
      <w:kern w:val="2"/>
      <w:szCs w:val="22"/>
    </w:rPr>
  </w:style>
  <w:style w:type="paragraph" w:styleId="5">
    <w:name w:val="footnote text"/>
    <w:basedOn w:val="1"/>
    <w:unhideWhenUsed/>
    <w:qFormat/>
    <w:uiPriority w:val="99"/>
    <w:pPr>
      <w:snapToGrid w:val="0"/>
      <w:jc w:val="left"/>
    </w:pPr>
    <w:rPr>
      <w:sz w:val="18"/>
      <w:szCs w:val="18"/>
    </w:rPr>
  </w:style>
  <w:style w:type="paragraph" w:styleId="6">
    <w:name w:val="Normal (Web)"/>
    <w:basedOn w:val="1"/>
    <w:qFormat/>
    <w:uiPriority w:val="0"/>
    <w:rPr>
      <w:sz w:val="24"/>
    </w:rPr>
  </w:style>
  <w:style w:type="paragraph" w:styleId="7">
    <w:name w:val="Body Text First Indent 2"/>
    <w:basedOn w:val="4"/>
    <w:unhideWhenUsed/>
    <w:qFormat/>
    <w:uiPriority w:val="99"/>
    <w:pPr>
      <w:ind w:firstLine="420" w:firstLineChars="200"/>
    </w:p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2043</Words>
  <Characters>2225</Characters>
  <Lines>0</Lines>
  <Paragraphs>0</Paragraphs>
  <TotalTime>4</TotalTime>
  <ScaleCrop>false</ScaleCrop>
  <LinksUpToDate>false</LinksUpToDate>
  <CharactersWithSpaces>2231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2025-12-04T03:22:00Z</dcterms:created>
  <dc:creator>安安的安</dc:creator>
  <cp:lastModifiedBy>安安的安</cp:lastModifiedBy>
  <dcterms:modified xsi:type="dcterms:W3CDTF">2025-12-10T08:21:43Z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704E9E58FCB04B28887928385DB67E97_11</vt:lpwstr>
  </property>
  <property fmtid="{D5CDD505-2E9C-101B-9397-08002B2CF9AE}" pid="4" name="KSOTemplateDocerSaveRecord">
    <vt:lpwstr>eyJoZGlkIjoiMmI3MWRhYjJhNDJhYzIxZjQ4NWI2MzNkYzliMzlhN2QiLCJ1c2VySWQiOiIzMDUwNjg3NDEifQ==</vt:lpwstr>
  </property>
</Properties>
</file>