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555C90">
      <w:pPr>
        <w:pStyle w:val="22"/>
        <w:spacing w:line="240" w:lineRule="auto"/>
        <w:jc w:val="center"/>
        <w:rPr>
          <w:rFonts w:ascii="Times New Roman" w:hAnsi="Times New Roman" w:eastAsiaTheme="minorEastAsia"/>
          <w:lang w:eastAsia="zh-CN"/>
        </w:rPr>
      </w:pPr>
      <w:r>
        <w:rPr>
          <w:rFonts w:ascii="Times New Roman" w:hAnsi="Times New Roman" w:eastAsiaTheme="minorEastAsia"/>
          <w:lang w:eastAsia="zh-CN"/>
        </w:rPr>
        <w:t>Assessing the Wildfire Impacts on Terrestrial Vertebrate Biodiversity in Los Angeles Using MaxEnt and Remote Sensing</w:t>
      </w:r>
    </w:p>
    <w:p w14:paraId="1FCF2616">
      <w:pPr>
        <w:rPr>
          <w:rFonts w:ascii="Times New Roman" w:hAnsi="Times New Roman"/>
          <w:b/>
          <w:bCs/>
          <w:sz w:val="24"/>
          <w:szCs w:val="24"/>
        </w:rPr>
      </w:pPr>
      <w:r>
        <w:rPr>
          <w:rFonts w:ascii="Times New Roman" w:hAnsi="Times New Roman"/>
          <w:b/>
          <w:bCs/>
          <w:sz w:val="24"/>
          <w:szCs w:val="24"/>
        </w:rPr>
        <w:t>Abstract</w:t>
      </w:r>
    </w:p>
    <w:p w14:paraId="0B45AE5A">
      <w:pPr>
        <w:pStyle w:val="27"/>
        <w:spacing w:line="240" w:lineRule="auto"/>
        <w:ind w:left="0"/>
        <w:rPr>
          <w:rFonts w:ascii="Times New Roman" w:hAnsi="Times New Roman" w:eastAsiaTheme="minorEastAsia"/>
          <w:snapToGrid/>
          <w:sz w:val="24"/>
          <w:szCs w:val="24"/>
          <w:lang w:eastAsia="zh-CN"/>
        </w:rPr>
      </w:pPr>
      <w:r>
        <w:rPr>
          <w:rFonts w:ascii="Times New Roman" w:hAnsi="Times New Roman" w:eastAsiaTheme="minorEastAsia"/>
          <w:snapToGrid/>
          <w:sz w:val="24"/>
          <w:szCs w:val="24"/>
          <w:lang w:eastAsia="zh-CN"/>
        </w:rPr>
        <w:t>This study aimed to quantify the impacts of the 2025 Los Angeles wildfires and to examine whether different taxonomic groups exhibit heterogeneous responses to fire severity</w:t>
      </w:r>
      <w:r>
        <w:rPr>
          <w:rFonts w:hint="eastAsia" w:ascii="Times New Roman" w:hAnsi="Times New Roman" w:eastAsiaTheme="minorEastAsia"/>
          <w:snapToGrid/>
          <w:sz w:val="24"/>
          <w:szCs w:val="24"/>
          <w:lang w:eastAsia="zh-CN"/>
        </w:rPr>
        <w:t xml:space="preserve"> for better post-fire biodiversity management</w:t>
      </w:r>
      <w:r>
        <w:rPr>
          <w:rFonts w:ascii="Times New Roman" w:hAnsi="Times New Roman" w:eastAsiaTheme="minorEastAsia"/>
          <w:snapToGrid/>
          <w:sz w:val="24"/>
          <w:szCs w:val="24"/>
          <w:lang w:eastAsia="zh-CN"/>
        </w:rPr>
        <w:t>.</w:t>
      </w:r>
      <w:r>
        <w:t xml:space="preserve"> </w:t>
      </w:r>
      <w:r>
        <w:rPr>
          <w:rFonts w:ascii="Times New Roman" w:hAnsi="Times New Roman" w:eastAsiaTheme="minorEastAsia"/>
          <w:snapToGrid/>
          <w:sz w:val="24"/>
          <w:szCs w:val="24"/>
          <w:lang w:eastAsia="zh-CN"/>
        </w:rPr>
        <w:t>Using 10‑m Sentinel‑2 imagery and a U‑Net deep learning model, we mapped burn extent and severity. Habitat changes for 224 species were modeled with MaxEnt, followed by Generalized Additive Models to identify ecological tipping points and Multiscale Geographically Weighted Regression to assess spatial non‑stationarity.</w:t>
      </w:r>
      <w:r>
        <w:t xml:space="preserve"> </w:t>
      </w:r>
      <w:r>
        <w:rPr>
          <w:rFonts w:ascii="Times New Roman" w:hAnsi="Times New Roman" w:eastAsiaTheme="minorEastAsia"/>
          <w:snapToGrid/>
          <w:sz w:val="24"/>
          <w:szCs w:val="24"/>
          <w:lang w:eastAsia="zh-CN"/>
        </w:rPr>
        <w:t xml:space="preserve">The fires burned 213.52 km², with 56.1% of the study area experiencing species richness declines (up to 41 species per pixel). Amphibians suffered the most widespread loss (70.96% of </w:t>
      </w:r>
      <w:r>
        <w:rPr>
          <w:rFonts w:hint="eastAsia" w:ascii="Times New Roman" w:hAnsi="Times New Roman" w:eastAsiaTheme="minorEastAsia"/>
          <w:snapToGrid/>
          <w:sz w:val="24"/>
          <w:szCs w:val="24"/>
          <w:lang w:eastAsia="zh-CN"/>
        </w:rPr>
        <w:t xml:space="preserve">research </w:t>
      </w:r>
      <w:r>
        <w:rPr>
          <w:rFonts w:ascii="Times New Roman" w:hAnsi="Times New Roman" w:eastAsiaTheme="minorEastAsia"/>
          <w:snapToGrid/>
          <w:sz w:val="24"/>
          <w:szCs w:val="24"/>
          <w:lang w:eastAsia="zh-CN"/>
        </w:rPr>
        <w:t>area), reptiles showed the highest sensitivity (tipping point</w:t>
      </w:r>
      <w:r>
        <w:rPr>
          <w:rFonts w:hint="eastAsia" w:ascii="Times New Roman" w:hAnsi="Times New Roman" w:eastAsiaTheme="minorEastAsia"/>
          <w:snapToGrid/>
          <w:sz w:val="24"/>
          <w:szCs w:val="24"/>
          <w:lang w:eastAsia="zh-CN"/>
        </w:rPr>
        <w:t>:</w:t>
      </w:r>
      <w:r>
        <w:rPr>
          <w:rFonts w:ascii="Times New Roman" w:hAnsi="Times New Roman" w:eastAsiaTheme="minorEastAsia"/>
          <w:snapToGrid/>
          <w:sz w:val="24"/>
          <w:szCs w:val="24"/>
          <w:lang w:eastAsia="zh-CN"/>
        </w:rPr>
        <w:t xml:space="preserve"> −0.06), while mammals exhibited </w:t>
      </w:r>
      <w:r>
        <w:rPr>
          <w:rFonts w:hint="eastAsia" w:ascii="Times New Roman" w:hAnsi="Times New Roman" w:eastAsiaTheme="minorEastAsia"/>
          <w:snapToGrid/>
          <w:sz w:val="24"/>
          <w:szCs w:val="24"/>
          <w:lang w:eastAsia="zh-CN"/>
        </w:rPr>
        <w:t xml:space="preserve">complex behavior. Areas away from places that fire happened also showed biodiversity decline. All these </w:t>
      </w:r>
      <w:r>
        <w:rPr>
          <w:rFonts w:ascii="Times New Roman" w:hAnsi="Times New Roman" w:eastAsiaTheme="minorEastAsia"/>
          <w:snapToGrid/>
          <w:sz w:val="24"/>
          <w:szCs w:val="24"/>
          <w:lang w:eastAsia="zh-CN"/>
        </w:rPr>
        <w:t>phenomen</w:t>
      </w:r>
      <w:r>
        <w:rPr>
          <w:rFonts w:hint="eastAsia" w:ascii="Times New Roman" w:hAnsi="Times New Roman" w:eastAsiaTheme="minorEastAsia"/>
          <w:snapToGrid/>
          <w:sz w:val="24"/>
          <w:szCs w:val="24"/>
          <w:lang w:eastAsia="zh-CN"/>
        </w:rPr>
        <w:t xml:space="preserve">a may due to </w:t>
      </w:r>
      <w:r>
        <w:rPr>
          <w:rFonts w:ascii="Times New Roman" w:hAnsi="Times New Roman" w:eastAsiaTheme="minorEastAsia"/>
          <w:snapToGrid/>
          <w:sz w:val="24"/>
          <w:szCs w:val="24"/>
          <w:lang w:eastAsia="zh-CN"/>
        </w:rPr>
        <w:t>the characteristics of different</w:t>
      </w:r>
      <w:r>
        <w:rPr>
          <w:rFonts w:hint="eastAsia" w:ascii="Times New Roman" w:hAnsi="Times New Roman" w:eastAsiaTheme="minorEastAsia"/>
          <w:snapToGrid/>
          <w:sz w:val="24"/>
          <w:szCs w:val="24"/>
          <w:lang w:eastAsia="zh-CN"/>
        </w:rPr>
        <w:t xml:space="preserve"> taxon,</w:t>
      </w:r>
      <w:r>
        <w:rPr>
          <w:rFonts w:ascii="Times New Roman" w:hAnsi="Times New Roman" w:eastAsiaTheme="minorEastAsia"/>
          <w:snapToGrid/>
          <w:sz w:val="24"/>
          <w:szCs w:val="24"/>
          <w:lang w:eastAsia="zh-CN"/>
        </w:rPr>
        <w:t xml:space="preserve"> the wildfire</w:t>
      </w:r>
      <w:r>
        <w:rPr>
          <w:rFonts w:hint="eastAsia" w:ascii="Times New Roman" w:hAnsi="Times New Roman" w:eastAsiaTheme="minorEastAsia"/>
          <w:snapToGrid/>
          <w:sz w:val="24"/>
          <w:szCs w:val="24"/>
          <w:lang w:eastAsia="zh-CN"/>
        </w:rPr>
        <w:t xml:space="preserve"> history, fire-caused </w:t>
      </w:r>
      <w:r>
        <w:rPr>
          <w:rFonts w:ascii="Times New Roman" w:hAnsi="Times New Roman" w:eastAsiaTheme="minorEastAsia"/>
          <w:snapToGrid/>
          <w:sz w:val="24"/>
          <w:szCs w:val="24"/>
          <w:lang w:eastAsia="zh-CN"/>
        </w:rPr>
        <w:t>soot deposition and microclimatic changes.</w:t>
      </w:r>
      <w:r>
        <w:t xml:space="preserve"> </w:t>
      </w:r>
      <w:r>
        <w:rPr>
          <w:rFonts w:ascii="Times New Roman" w:hAnsi="Times New Roman" w:eastAsiaTheme="minorEastAsia"/>
          <w:snapToGrid/>
          <w:sz w:val="24"/>
          <w:szCs w:val="24"/>
          <w:lang w:eastAsia="zh-CN"/>
        </w:rPr>
        <w:t>Fire effects were non‑stationary, including a positive buffering patch in the southern Palisades fire boundary. Based on these findings, we propose a differentiated post‑fire conservation framework that integrates fire intensity zoning, micro‑refugia creation for reptiles and amphibians, dynamic buffer zones along fire boundaries to support mammal congregation, and taxon‑specific intervention thresholds to provide a case study for adaptive management in Mediterranean‑climate regions</w:t>
      </w:r>
      <w:r>
        <w:rPr>
          <w:rFonts w:hint="eastAsia" w:ascii="Times New Roman" w:hAnsi="Times New Roman" w:eastAsiaTheme="minorEastAsia"/>
          <w:snapToGrid/>
          <w:sz w:val="24"/>
          <w:szCs w:val="24"/>
          <w:lang w:eastAsia="zh-CN"/>
        </w:rPr>
        <w:t>.</w:t>
      </w:r>
    </w:p>
    <w:p w14:paraId="140DB42A">
      <w:pPr>
        <w:pStyle w:val="27"/>
        <w:spacing w:line="240" w:lineRule="auto"/>
        <w:ind w:left="0"/>
        <w:rPr>
          <w:rFonts w:ascii="Times New Roman" w:hAnsi="Times New Roman" w:eastAsiaTheme="minorEastAsia"/>
          <w:sz w:val="24"/>
          <w:szCs w:val="24"/>
          <w:lang w:eastAsia="zh-CN"/>
        </w:rPr>
      </w:pPr>
      <w:r>
        <w:rPr>
          <w:rFonts w:ascii="Times New Roman" w:hAnsi="Times New Roman"/>
          <w:b/>
          <w:sz w:val="24"/>
          <w:szCs w:val="24"/>
        </w:rPr>
        <w:t xml:space="preserve">Keywords: </w:t>
      </w:r>
      <w:r>
        <w:rPr>
          <w:rFonts w:ascii="Times New Roman" w:hAnsi="Times New Roman" w:eastAsiaTheme="minorEastAsia"/>
          <w:sz w:val="24"/>
          <w:szCs w:val="24"/>
          <w:lang w:eastAsia="zh-CN"/>
        </w:rPr>
        <w:t>Wildfire</w:t>
      </w:r>
      <w:r>
        <w:rPr>
          <w:rFonts w:ascii="Times New Roman" w:hAnsi="Times New Roman"/>
          <w:sz w:val="24"/>
          <w:szCs w:val="24"/>
        </w:rPr>
        <w:t>;</w:t>
      </w:r>
      <w:r>
        <w:rPr>
          <w:rFonts w:ascii="Times New Roman" w:hAnsi="Times New Roman" w:eastAsiaTheme="minorEastAsia"/>
          <w:sz w:val="24"/>
          <w:szCs w:val="24"/>
          <w:lang w:eastAsia="zh-CN"/>
        </w:rPr>
        <w:t xml:space="preserve"> MaxEnt; U-Net; Fire intensity; Biodiversity conservation; Biodiversity</w:t>
      </w:r>
    </w:p>
    <w:p w14:paraId="687867C1">
      <w:pPr>
        <w:spacing w:line="240" w:lineRule="auto"/>
        <w:rPr>
          <w:rFonts w:ascii="Times New Roman" w:hAnsi="Times New Roman"/>
          <w:sz w:val="24"/>
          <w:szCs w:val="24"/>
          <w:lang w:bidi="en-US"/>
        </w:rPr>
      </w:pPr>
    </w:p>
    <w:p w14:paraId="01608E77">
      <w:pPr>
        <w:pStyle w:val="47"/>
        <w:spacing w:line="240" w:lineRule="auto"/>
        <w:ind w:left="0"/>
        <w:rPr>
          <w:rFonts w:ascii="Times New Roman" w:hAnsi="Times New Roman"/>
          <w:szCs w:val="24"/>
        </w:rPr>
      </w:pPr>
      <w:r>
        <w:rPr>
          <w:rFonts w:ascii="Times New Roman" w:hAnsi="Times New Roman"/>
          <w:szCs w:val="24"/>
        </w:rPr>
        <w:t>1. Introduction</w:t>
      </w:r>
    </w:p>
    <w:p w14:paraId="5349D445">
      <w:pPr>
        <w:pStyle w:val="33"/>
        <w:spacing w:line="240" w:lineRule="auto"/>
        <w:ind w:left="0" w:firstLine="0"/>
        <w:rPr>
          <w:rFonts w:ascii="Times New Roman" w:hAnsi="Times New Roman" w:eastAsiaTheme="minorEastAsia"/>
          <w:sz w:val="24"/>
          <w:szCs w:val="24"/>
          <w:lang w:eastAsia="zh-CN"/>
        </w:rPr>
      </w:pPr>
      <w:r>
        <w:rPr>
          <w:rFonts w:ascii="Times New Roman" w:hAnsi="Times New Roman" w:eastAsiaTheme="minorEastAsia"/>
          <w:sz w:val="24"/>
          <w:szCs w:val="24"/>
          <w:lang w:eastAsia="zh-CN"/>
        </w:rPr>
        <w:t>Global warming has intensified the frequency and severity of extreme wildfires. As a major natural disturbance in terrestrial ecosystems, wildfires trigger cascading ecological effects</w:t>
      </w:r>
      <w:r>
        <w:rPr>
          <w:rFonts w:ascii="Times New Roman" w:hAnsi="Times New Roman" w:eastAsiaTheme="minorEastAsia"/>
          <w:sz w:val="24"/>
          <w:szCs w:val="24"/>
          <w:lang w:eastAsia="zh-CN"/>
        </w:rPr>
        <w:fldChar w:fldCharType="begin"/>
      </w:r>
      <w:r>
        <w:rPr>
          <w:rFonts w:ascii="Times New Roman" w:hAnsi="Times New Roman" w:eastAsiaTheme="minorEastAsia"/>
          <w:sz w:val="24"/>
          <w:szCs w:val="24"/>
          <w:lang w:eastAsia="zh-CN"/>
        </w:rPr>
        <w:instrText xml:space="preserve"> ADDIN ZOTERO_ITEM CSL_CITATION {"citationID":"rd9yFNaj","properties":{"unsorted":false,"formattedCitation":"(Yue Chao et al., 2020)","plainCitation":"(Yue Chao et al., 2020)","noteIndex":0},"citationItems":[{"id":279,"uris":["http://zotero.org/users/17543282/items/7LDQCAGE"],"itemData":{"id":279,"type":"article-journal","abstract":"Wildfire is not only the most important natural disturbance for forests and other vegetation ecosystems on Earth，but also a major natural disaster for human society． In turn，human activities have profound interaction with the occurrence and distribution of wildfires． Wildfire has become one of the key issues in the studies of global change and its environmental impacts． Based on a thorough analysis of the international literature on wildfire，this paper reviews the progresses in wildfire study from the beginning of the 21st century in terms of the techniques of wildfire detection，assessment and early warning，spatiotemporal patterns characterization，the impacts of climate changes and human activities on wildfires，and the environmental-ecological-evolutionary outcomes of wildfires． In summary，significant improvements have been made in the spatial and temporal resolutions of wildfire observation and fire characterization has advanced from a burned-area centered approach to multiple indicators with an emphasis on comprehensive characterization of fire regime． Climate change has significantly affected the frequency of wildfire occurrences in certain regions． Global warming is expected to further amplify wildfire risk，which has attracted increasing concerns over the mechanisms and the ecological consequences of extreme mega-fires． On the one hand，human causes increase the wildfire frequency by creating ignition sources; on the other hand，human interferences inhibit wildfire occurrence by enhancing ecosystem management intensity，fire-fighting，and reducing fuel connectivity． Over the history，vegetation has evolved with the presence of wildfires and has thus developed a series of fire adaptation mechanisms． Such fire-relevant functional traits affect ecosystem responses to wildfire and are valuable in guiding post-fire ecological restoration and reconstruction． We conclude that future wildfire research should be directed towards across-scale fire detection and mapping with multiple techniques，data-model fusion between observations and wildfire simulation in dynamic vegetation models and a combination between fine-scale mechanism characterization and large-scale fire impact assessment．","container-title":"Acta Ecologica Sinica","journalAbbreviation":"Acta Ecologica Sinica","page":"385-401","source":"ResearchGate","title":"A review on wildfire studies in the context of global change","volume":"40","author":[{"literal":"Yue Chao"},{"literal":"Luo Caifang"},{"literal":"Shu Lifu"},{"family":"Shen","given":"Zehao"}],"issued":{"date-parts":[["2020",10,8]]}}}],"schema":"https://github.com/citation-style-language/schema/raw/master/csl-citation.json"} </w:instrText>
      </w:r>
      <w:r>
        <w:rPr>
          <w:rFonts w:ascii="Times New Roman" w:hAnsi="Times New Roman" w:eastAsiaTheme="minorEastAsia"/>
          <w:sz w:val="24"/>
          <w:szCs w:val="24"/>
          <w:lang w:eastAsia="zh-CN"/>
        </w:rPr>
        <w:fldChar w:fldCharType="separate"/>
      </w:r>
      <w:r>
        <w:rPr>
          <w:rFonts w:ascii="Times New Roman" w:hAnsi="Times New Roman" w:eastAsiaTheme="minorEastAsia"/>
          <w:sz w:val="24"/>
        </w:rPr>
        <w:t>(Yue Chao et al., 2020)</w:t>
      </w:r>
      <w:r>
        <w:rPr>
          <w:rFonts w:ascii="Times New Roman" w:hAnsi="Times New Roman" w:eastAsiaTheme="minorEastAsia"/>
          <w:sz w:val="24"/>
          <w:szCs w:val="24"/>
          <w:lang w:eastAsia="zh-CN"/>
        </w:rPr>
        <w:fldChar w:fldCharType="end"/>
      </w:r>
      <w:r>
        <w:rPr>
          <w:rFonts w:ascii="Times New Roman" w:hAnsi="Times New Roman" w:eastAsiaTheme="minorEastAsia"/>
          <w:sz w:val="24"/>
          <w:szCs w:val="24"/>
          <w:lang w:eastAsia="zh-CN"/>
        </w:rPr>
        <w:t>. They reshape vegetation structure and carbon cycling, and by destroying habitats and food resources, force species to migrate or lead to local extinction</w:t>
      </w:r>
      <w:r>
        <w:rPr>
          <w:rFonts w:ascii="Times New Roman" w:hAnsi="Times New Roman" w:eastAsiaTheme="minorEastAsia"/>
          <w:sz w:val="24"/>
          <w:szCs w:val="24"/>
          <w:lang w:eastAsia="zh-CN"/>
        </w:rPr>
        <w:fldChar w:fldCharType="begin"/>
      </w:r>
      <w:r>
        <w:rPr>
          <w:rFonts w:ascii="Times New Roman" w:hAnsi="Times New Roman" w:eastAsiaTheme="minorEastAsia"/>
          <w:sz w:val="24"/>
          <w:szCs w:val="24"/>
          <w:lang w:eastAsia="zh-CN"/>
        </w:rPr>
        <w:instrText xml:space="preserve"> ADDIN ZOTERO_ITEM CSL_CITATION {"citationID":"ysilopO3","properties":{"unsorted":false,"formattedCitation":"(Mosquera-Guerra et al., 2024; North et al., 2024)","plainCitation":"(Mosquera-Guerra et al., 2024; North et al., 2024)","noteIndex":0},"citationItems":[{"id":284,"uris":["http://zotero.org/users/17543282/items/FG4JSWBM"],"itemData":{"id":284,"type":"article-journal","abstract":"Fire plays a crucial role in shaping multiple ecological processes in native savannas. Still, the natural fire regime in the Neotropical savanna of South America is being altered by climate variability, resulting in reduced precipitation and increased mean temperatures. In recent years, an increase in the duration, intensity, frequency, and extent of wildfires in South American savannas has been reported. However, knowledge of the ecology of wildfires in the savanna landscapes and their impact on the habitats of large mammals is limited or non-existent. This study investigates the impact of wildfires on the suitability habitat for Tapirus terrestris in a native high plains native savanna landscape in the department of Vichada in eastern Colombia. We used the MaxEnt algorithm to model the ecological niche of the lowland tapir and then classify land covers into low, medium, and high probability of species occurrence. We then assessed the representativeness of the occurrence of wildfires and the frequency of detection of burned areas within the land covers classified into the suitability model of lowland tapir. Our results indicate that wildfires significantly affect high-suitability habitats such as forest and shrubland covers. The effects of fire on these land cover types would reduce the resource supply for lowland tapir and cause the displacement of individuals to new areas which could increase the exposure to threats such as hunting and pathogens from domestic animals. This research underscores the need for targeted conservation strategies to mitigate wildfire impacts and preserve critical habitats for vulnerable species.","container-title":"Discover Conservation","DOI":"10.1007/s44353-024-00013-z","ISSN":"3004-9784","issue":"1","journalAbbreviation":"Discov Conserv","language":"en","page":"15","source":"Springer Link","title":"Impact of wildfires on the suitability habitat of the lowland tapir in a native savanna landscape of northern South America","volume":"1","author":[{"family":"Mosquera-Guerra","given":"Federico"},{"family":"Moreno-Niño","given":"Nathalia"},{"family":"Garcia-Suabita","given":"Walter"},{"family":"Armenteras-Pascual","given":"Dolors"}],"issued":{"date-parts":[["2024",11,26]]}}},{"id":286,"uris":["http://zotero.org/users/17543282/items/W7WVX5I4"],"itemData":{"id":286,"type":"article-journal","abstract":"Peatlands are important ecosystems that are becoming increasingly vulnerable to climate-mediated disturbances such as wildfire, which can threaten peatland hydrological, biogeochemical, and ecological function. However, the magnitude of these changes and their impacts to peatland-dependent species worldwide is a key knowledge gap. Peatlands in the eastern Georgian Bay, Ontario, region provide overwintering habitat for the eastern massasauga rattlesnake (Sistrurus c. catenatus), a species considered at-risk across its North American range. Overwintering habitat is considered suitable when peat temperature is above 0°C and the water table position provides moisture without risk of prolonged flooding. This combination of suitable ecohydrological conditions, also known as the life zone or resilience zone, commonly occurs in hummocks which are raised microforms on the peatland surface. Due to a changing climate, peatlands are at risk of increased wildfire frequency and burn severity which may reduce overwintering habitat availability and suitability through changes in peat thermal and hydrological properties. In 2018, a wildfire burned over 11,000 ha of the eastern Georgian Bay landscape which supports critical habitat for the massasauga at the northern limit of the species range. To assess the potential impact of wildfire on massasauga overwintering habitat, we monitored water table position, snow depth, and peat thermal dynamics in hummocks across a burn severity gradient (unburned to severely burned) in three burned and three unburned peatlands across three winters (2019–2022). We found that hummocks were able to provide unflooded habitat above 0°C regardless of peat burn severity; however, there was moderate evidence that hummock burn severity influenced mean daily resilience zone size. Overall, hummock overwintering suitability appears to be dominantly controlled by peatland surface topography and interannual winter weather. With the frequency and intensity of wildfires predicted to increase globally under a changing climate, it is critical to understand how interannual variability of winter weather conditions influences overwintering habitat suitability after wildfire, to identify peatland ecosystems that provide resilient species at risk habitat.","container-title":"Global Ecology and Conservation","DOI":"10.1016/j.gecco.2024.e03258","ISSN":"2351-9894","journalAbbreviation":"Global Ecology and Conservation","page":"e03258","source":"ScienceDirect","title":"Initial impacts of wildfire on overwintering conditions for a Species-at-Risk snake","volume":"56","author":[{"family":"North","given":"T. D."},{"family":"Markle","given":"C. E."},{"family":"Fallas","given":"R. Y."},{"family":"Moore","given":"P. A."},{"family":"Waddington","given":"J. M."}],"issued":{"date-parts":[["2024",12,1]]}}}],"schema":"https://github.com/citation-style-language/schema/raw/master/csl-citation.json"} </w:instrText>
      </w:r>
      <w:r>
        <w:rPr>
          <w:rFonts w:ascii="Times New Roman" w:hAnsi="Times New Roman" w:eastAsiaTheme="minorEastAsia"/>
          <w:sz w:val="24"/>
          <w:szCs w:val="24"/>
          <w:lang w:eastAsia="zh-CN"/>
        </w:rPr>
        <w:fldChar w:fldCharType="separate"/>
      </w:r>
      <w:r>
        <w:rPr>
          <w:rFonts w:ascii="Times New Roman" w:hAnsi="Times New Roman" w:eastAsiaTheme="minorEastAsia"/>
          <w:sz w:val="24"/>
        </w:rPr>
        <w:t>(Mosquera-Guerra et al., 2024; North et al., 2024)</w:t>
      </w:r>
      <w:r>
        <w:rPr>
          <w:rFonts w:ascii="Times New Roman" w:hAnsi="Times New Roman" w:eastAsiaTheme="minorEastAsia"/>
          <w:sz w:val="24"/>
          <w:szCs w:val="24"/>
          <w:lang w:eastAsia="zh-CN"/>
        </w:rPr>
        <w:fldChar w:fldCharType="end"/>
      </w:r>
      <w:r>
        <w:rPr>
          <w:rFonts w:ascii="Times New Roman" w:hAnsi="Times New Roman" w:eastAsiaTheme="minorEastAsia"/>
          <w:sz w:val="24"/>
          <w:szCs w:val="24"/>
          <w:lang w:eastAsia="zh-CN"/>
        </w:rPr>
        <w:t>. However, ecosystem responses to fire disturbance are highly heterogeneous</w:t>
      </w:r>
      <w:r>
        <w:rPr>
          <w:rFonts w:ascii="Times New Roman" w:hAnsi="Times New Roman" w:eastAsiaTheme="minorEastAsia"/>
          <w:sz w:val="24"/>
          <w:szCs w:val="24"/>
          <w:lang w:eastAsia="zh-CN"/>
        </w:rPr>
        <w:fldChar w:fldCharType="begin"/>
      </w:r>
      <w:r>
        <w:rPr>
          <w:rFonts w:ascii="Times New Roman" w:hAnsi="Times New Roman" w:eastAsiaTheme="minorEastAsia"/>
          <w:sz w:val="24"/>
          <w:szCs w:val="24"/>
          <w:lang w:eastAsia="zh-CN"/>
        </w:rPr>
        <w:instrText xml:space="preserve"> ADDIN ZOTERO_ITEM CSL_CITATION {"citationID":"M6m0Eoj4","properties":{"unsorted":false,"formattedCitation":"(Steel et al., 2019)","plainCitation":"(Steel et al., 2019)","noteIndex":0},"citationItems":[{"id":282,"uris":["http://zotero.org/users/17543282/items/JKMTHGJ5"],"itemData":{"id":282,"type":"article-journal","abstract":"Wildfire is an important ecological process that influences species’ occurrence and biodiversity generally. Its effect on bats is understudied, creating challenges for habitat management and species conservation as threats to the taxa worsen globally and within fire-prone ecosystems. We conducted acoustic surveys of wildfire areas during 2014–2017 in conifer forests of California’s Sierra Nevada Mountains. We tested effects of burn severity and its variation, or pyrodiversity, on occupancy and diversity for the 17-species bat community while accounting for imperfect detection. Occupancy rates increased with severity for at least 6 species and with pyrodiversity for at least 3. Two other species responded negatively to pyrodiversity. Individual species models predicted maximum occupancy rates across burn severity levels but only one species occurred most often in undisturbed areas. Species richness increased from approximately 8 species in unburned forests to 11 in pyrodiverse areas with moderate- to high-severity. Greater accessibility of foraging habitats, as well as increased habitat heterogeneity may explain positive responses to wildfire. Many bat species appear well adapted to wildfire, while a century of fire suppression and forest densification likely reduced habitat quality for the community generally. Relative to other taxa, bats may be somewhat resilient to increases in fire severity and size; trends which are expected to continue with accelerating climate change.","container-title":"Scientific Reports","DOI":"10.1038/s41598-019-52875-2","ISSN":"2045-2322","issue":"1","journalAbbreviation":"Sci Rep","language":"en","license":"2019 The Author(s)","page":"16300","publisher":"Nature Publishing Group","source":"www.nature.com","title":"The effects of wildfire severity and pyrodiversity on bat occupancy and diversity in fire-suppressed forests","volume":"9","author":[{"family":"Steel","given":"Z. L."},{"family":"Campos","given":"B."},{"family":"Frick","given":"W. F."},{"family":"Burnett","given":"R."},{"family":"Safford","given":"H. D."}],"issued":{"date-parts":[["2019",12,5]]}}}],"schema":"https://github.com/citation-style-language/schema/raw/master/csl-citation.json"} </w:instrText>
      </w:r>
      <w:r>
        <w:rPr>
          <w:rFonts w:ascii="Times New Roman" w:hAnsi="Times New Roman" w:eastAsiaTheme="minorEastAsia"/>
          <w:sz w:val="24"/>
          <w:szCs w:val="24"/>
          <w:lang w:eastAsia="zh-CN"/>
        </w:rPr>
        <w:fldChar w:fldCharType="separate"/>
      </w:r>
      <w:r>
        <w:rPr>
          <w:rFonts w:ascii="Times New Roman" w:hAnsi="Times New Roman" w:eastAsiaTheme="minorEastAsia"/>
          <w:sz w:val="24"/>
        </w:rPr>
        <w:t>(Steel et al., 2019)</w:t>
      </w:r>
      <w:r>
        <w:rPr>
          <w:rFonts w:ascii="Times New Roman" w:hAnsi="Times New Roman" w:eastAsiaTheme="minorEastAsia"/>
          <w:sz w:val="24"/>
          <w:szCs w:val="24"/>
          <w:lang w:eastAsia="zh-CN"/>
        </w:rPr>
        <w:fldChar w:fldCharType="end"/>
      </w:r>
      <w:r>
        <w:rPr>
          <w:rFonts w:ascii="Times New Roman" w:hAnsi="Times New Roman" w:eastAsiaTheme="minorEastAsia"/>
          <w:sz w:val="24"/>
          <w:szCs w:val="24"/>
          <w:lang w:eastAsia="zh-CN"/>
        </w:rPr>
        <w:t>. Moderate wildfire regimes can create diverse microhabitats and unique ecological niches, maintaining community dynamics and species reproduction</w:t>
      </w:r>
      <w:r>
        <w:rPr>
          <w:rFonts w:ascii="Times New Roman" w:hAnsi="Times New Roman" w:eastAsiaTheme="minorEastAsia"/>
          <w:sz w:val="24"/>
          <w:szCs w:val="24"/>
          <w:lang w:eastAsia="zh-CN"/>
        </w:rPr>
        <w:fldChar w:fldCharType="begin"/>
      </w:r>
      <w:r>
        <w:rPr>
          <w:rFonts w:ascii="Times New Roman" w:hAnsi="Times New Roman" w:eastAsiaTheme="minorEastAsia"/>
          <w:sz w:val="24"/>
          <w:szCs w:val="24"/>
          <w:lang w:eastAsia="zh-CN"/>
        </w:rPr>
        <w:instrText xml:space="preserve"> ADDIN ZOTERO_ITEM CSL_CITATION {"citationID":"Hto4ivFz","properties":{"unsorted":false,"formattedCitation":"(Zheng et al., 2025)","plainCitation":"(Zheng et al., 2025)","noteIndex":0},"citationItems":[{"id":376,"uris":["http://zotero.org/users/17543282/items/RM9QX6AD"],"itemData":{"id":376,"type":"article-journal","abstract":"&lt;p&gt;林火是森林生态系统中重要的干扰因素。严重的森林火灾会破坏林分结构，影响生态系统的稳定性，但适度火干扰可以促进植被更新，改变群落的演替动态，并提高物种多样性。本文综述了林火干扰对林分结构和植被更新的影响研究进展，特别是林火干扰对树木存活、林分结构及植被更新的影响。研究表明，林火引起的树木死亡是影响林分结构和树种组成的关键因素；林火干扰后植被群落的变化主要取决于火烧强度，轻度火干扰对乔木层影响较小，而重度火干扰则可能导致生态系统逆向演替。目前，国内外研究主要关注不同林型、火强度、火烈度、季节以及不同过火类型等因素对林分结构和植被更新的影响，尚缺乏林火干扰对树木生长和植被更新机制的长期连续研究。未来研究应重点关注以下几个方面：基于固定样地连续监测，研究不同林火干扰条件下林分结构和植被更新演替的长期动态；完善采样数据集，结合生物物理及生理过程建模，构建更完整的预测体系，以准确预测火后不同树种组成的林分树木生长状况；深入探讨林火与其他扰动因子的交互作用机制，分析其对林分结构的协同影响。研究结果将有助于深入理解林火干扰对林分结构和植被更新的影响，推动该领域的发展。&lt;/p&gt;","container-title":"Journal of Beijing Forestry University","DOI":"10.12171/j.1000-1522.20240029","ISSN":"1000-1522","issue":"1","journalAbbreviation":"bjlydxxb","language":"zh","license":"http://creativecommons.org/licenses/by/3.0/","page":"156-162","publisher":"Journal of Beijing Forestry University","source":"j.bjfu.edu.cn","title":"Research progress on effects of fire disturbance on stand structure and vegetation regeneration","volume":"47","author":[{"family":"Zheng","given":"Xin"},{"family":"Liu","given":"Yanming"},{"family":"Si","given":"Liqing"},{"family":"Shu","given":"Lifu"},{"family":"Chen","given":"Feng"},{"family":"Wang","given":"Qianxue"},{"family":"Wang","given":"Shuo"},{"family":"Zhang","given":"Jili"}],"issued":{"date-parts":[["2025",1,25]]}}}],"schema":"https://github.com/citation-style-language/schema/raw/master/csl-citation.json"} </w:instrText>
      </w:r>
      <w:r>
        <w:rPr>
          <w:rFonts w:ascii="Times New Roman" w:hAnsi="Times New Roman" w:eastAsiaTheme="minorEastAsia"/>
          <w:sz w:val="24"/>
          <w:szCs w:val="24"/>
          <w:lang w:eastAsia="zh-CN"/>
        </w:rPr>
        <w:fldChar w:fldCharType="separate"/>
      </w:r>
      <w:r>
        <w:rPr>
          <w:rFonts w:ascii="Times New Roman" w:hAnsi="Times New Roman" w:eastAsiaTheme="minorEastAsia"/>
          <w:sz w:val="24"/>
        </w:rPr>
        <w:t>(Zheng et al., 2025)</w:t>
      </w:r>
      <w:r>
        <w:rPr>
          <w:rFonts w:ascii="Times New Roman" w:hAnsi="Times New Roman" w:eastAsiaTheme="minorEastAsia"/>
          <w:sz w:val="24"/>
          <w:szCs w:val="24"/>
          <w:lang w:eastAsia="zh-CN"/>
        </w:rPr>
        <w:fldChar w:fldCharType="end"/>
      </w:r>
      <w:r>
        <w:rPr>
          <w:rFonts w:ascii="Times New Roman" w:hAnsi="Times New Roman" w:eastAsiaTheme="minorEastAsia"/>
          <w:sz w:val="24"/>
          <w:szCs w:val="24"/>
          <w:lang w:eastAsia="zh-CN"/>
        </w:rPr>
        <w:t>, whereas extreme wildfires may drive population collapses.</w:t>
      </w:r>
    </w:p>
    <w:p w14:paraId="2984E1A2">
      <w:pPr>
        <w:pStyle w:val="33"/>
        <w:spacing w:line="240" w:lineRule="auto"/>
        <w:ind w:left="0" w:firstLine="0"/>
        <w:rPr>
          <w:rFonts w:ascii="Times New Roman" w:hAnsi="Times New Roman" w:eastAsiaTheme="minorEastAsia"/>
          <w:sz w:val="24"/>
          <w:szCs w:val="24"/>
          <w:lang w:eastAsia="zh-CN"/>
        </w:rPr>
      </w:pPr>
      <w:r>
        <w:rPr>
          <w:rFonts w:ascii="Times New Roman" w:hAnsi="Times New Roman" w:eastAsiaTheme="minorEastAsia"/>
          <w:sz w:val="24"/>
          <w:szCs w:val="24"/>
          <w:lang w:eastAsia="zh-CN"/>
        </w:rPr>
        <w:t>Southern California’s Mediterranean climate, characterized by wet winters and dry summers, promotes rapid biomass accumulation followed by abundant summer fuels. In January 2025, the Los Angeles experienced two major wildfires—the Eaton Fire and the Palisades Fire—ranked as the second and third most destructive in California’s history</w:t>
      </w:r>
      <w:r>
        <w:rPr>
          <w:rFonts w:ascii="Times New Roman" w:hAnsi="Times New Roman" w:eastAsiaTheme="minorEastAsia"/>
          <w:sz w:val="24"/>
          <w:szCs w:val="24"/>
          <w:lang w:eastAsia="zh-CN"/>
        </w:rPr>
        <w:fldChar w:fldCharType="begin"/>
      </w:r>
      <w:r>
        <w:rPr>
          <w:rFonts w:ascii="Times New Roman" w:hAnsi="Times New Roman" w:eastAsiaTheme="minorEastAsia"/>
          <w:sz w:val="24"/>
          <w:szCs w:val="24"/>
          <w:lang w:eastAsia="zh-CN"/>
        </w:rPr>
        <w:instrText xml:space="preserve"> ADDIN ZOTERO_ITEM CSL_CITATION {"citationID":"FlUX8I2L","properties":{"unsorted":false,"formattedCitation":"(Insurance Institute for Business \\uc0\\u65286{} Home Safety, 2025)","plainCitation":"(Insurance Institute for Business ＆ Home Safety, 2025)","noteIndex":0},"citationItems":[{"id":288,"uris":["http://zotero.org/users/17543282/items/8SFPIRLU"],"itemData":{"id":288,"type":"webpage","publisher":"CTIF","title":"2025 LA County Wildfires: Early Insights from Field Observations","URL":"https://www.ctif.org/zh-hans/news/2025-nianluoshanjiyehuodezaoqidongchabaogao","author":[{"literal":"Insurance Institute for Business ＆ Home Safety"}],"accessed":{"date-parts":[["2026",3,12]]},"issued":{"date-parts":[["2025",4,23]]}}}],"schema":"https://github.com/citation-style-language/schema/raw/master/csl-citation.json"} </w:instrText>
      </w:r>
      <w:r>
        <w:rPr>
          <w:rFonts w:ascii="Times New Roman" w:hAnsi="Times New Roman" w:eastAsiaTheme="minorEastAsia"/>
          <w:sz w:val="24"/>
          <w:szCs w:val="24"/>
          <w:lang w:eastAsia="zh-CN"/>
        </w:rPr>
        <w:fldChar w:fldCharType="separate"/>
      </w:r>
      <w:r>
        <w:rPr>
          <w:rFonts w:ascii="Times New Roman" w:hAnsi="Times New Roman" w:eastAsiaTheme="minorEastAsia"/>
          <w:sz w:val="24"/>
          <w:szCs w:val="24"/>
          <w:lang w:eastAsia="zh-CN"/>
        </w:rPr>
        <w:t>(Insurance Institute for Business ＆ Home Safety, 2025)</w:t>
      </w:r>
      <w:r>
        <w:rPr>
          <w:rFonts w:ascii="Times New Roman" w:hAnsi="Times New Roman" w:eastAsiaTheme="minorEastAsia"/>
          <w:sz w:val="24"/>
          <w:szCs w:val="24"/>
          <w:lang w:eastAsia="zh-CN"/>
        </w:rPr>
        <w:fldChar w:fldCharType="end"/>
      </w:r>
      <w:r>
        <w:rPr>
          <w:rFonts w:ascii="Times New Roman" w:hAnsi="Times New Roman" w:eastAsiaTheme="minorEastAsia"/>
          <w:sz w:val="24"/>
          <w:szCs w:val="24"/>
          <w:lang w:eastAsia="zh-CN"/>
        </w:rPr>
        <w:t>. While the socio‑economic impacts of these fires have been widely reported</w:t>
      </w:r>
      <w:r>
        <w:rPr>
          <w:rFonts w:ascii="Times New Roman" w:hAnsi="Times New Roman" w:eastAsiaTheme="minorEastAsia"/>
          <w:sz w:val="24"/>
          <w:szCs w:val="24"/>
          <w:lang w:eastAsia="zh-CN"/>
        </w:rPr>
        <w:fldChar w:fldCharType="begin"/>
      </w:r>
      <w:r>
        <w:rPr>
          <w:rFonts w:ascii="Times New Roman" w:hAnsi="Times New Roman" w:eastAsiaTheme="minorEastAsia"/>
          <w:sz w:val="24"/>
          <w:szCs w:val="24"/>
          <w:lang w:eastAsia="zh-CN"/>
        </w:rPr>
        <w:instrText xml:space="preserve"> ADDIN ZOTERO_ITEM CSL_CITATION {"citationID":"CN0D55yv","properties":{"unsorted":false,"formattedCitation":"(Defense, 2025; {\\i{}The Los Angeles Wildfires}, 2025)","plainCitation":"(Defense, 2025; The Los Angeles Wildfires, 2025)","noteIndex":0},"citationItems":[{"id":290,"uris":["http://zotero.org/users/17543282/items/RIQW4UBY"],"itemData":{"id":290,"type":"post-weblog","abstract":"See how the LA fires impacted lives, the economy and ecosystems—and how Californians are rebuilding smarter, safer communities.","container-title":"Frontline","language":"en-US","title":"Impact of the LA Fires","URL":"https://www.frontlinewildfire.com/wildfire-news-and-resources/impact-of-la-fires/","author":[{"family":"Defense","given":"Frontline Wildfire"}],"accessed":{"date-parts":[["2026",3,12]]},"issued":{"date-parts":[["2025",9,25]]}}},{"id":289,"uris":["http://zotero.org/users/17543282/items/E6Z6RT5Y"],"itemData":{"id":289,"type":"webpage","container-title":"The Solutions Project","language":"en-US","title":"The Los Angeles Wildfires: When Climate Disaster Strikes, Community Leads","title-short":"The Los Angeles Wildfires","URL":"https://thesolutionsproject.org/the-los-angeles-wildfires-when-climate-disaster-strikes-community-leads/","accessed":{"date-parts":[["2026",3,12]]},"issued":{"date-parts":[["2025",1,22]]}}}],"schema":"https://github.com/citation-style-language/schema/raw/master/csl-citation.json"} </w:instrText>
      </w:r>
      <w:r>
        <w:rPr>
          <w:rFonts w:ascii="Times New Roman" w:hAnsi="Times New Roman" w:eastAsiaTheme="minorEastAsia"/>
          <w:sz w:val="24"/>
          <w:szCs w:val="24"/>
          <w:lang w:eastAsia="zh-CN"/>
        </w:rPr>
        <w:fldChar w:fldCharType="separate"/>
      </w:r>
      <w:r>
        <w:rPr>
          <w:rFonts w:ascii="Times New Roman" w:hAnsi="Times New Roman"/>
          <w:sz w:val="24"/>
        </w:rPr>
        <w:t xml:space="preserve">(Defense, 2025; </w:t>
      </w:r>
      <w:r>
        <w:rPr>
          <w:rFonts w:ascii="Times New Roman" w:hAnsi="Times New Roman"/>
          <w:i/>
          <w:iCs/>
          <w:sz w:val="24"/>
        </w:rPr>
        <w:t>The Los Angeles Wildfires</w:t>
      </w:r>
      <w:r>
        <w:rPr>
          <w:rFonts w:ascii="Times New Roman" w:hAnsi="Times New Roman"/>
          <w:sz w:val="24"/>
        </w:rPr>
        <w:t>, 2025)</w:t>
      </w:r>
      <w:r>
        <w:rPr>
          <w:rFonts w:ascii="Times New Roman" w:hAnsi="Times New Roman" w:eastAsiaTheme="minorEastAsia"/>
          <w:sz w:val="24"/>
          <w:szCs w:val="24"/>
          <w:lang w:eastAsia="zh-CN"/>
        </w:rPr>
        <w:fldChar w:fldCharType="end"/>
      </w:r>
      <w:r>
        <w:rPr>
          <w:rFonts w:ascii="Times New Roman" w:hAnsi="Times New Roman" w:eastAsiaTheme="minorEastAsia"/>
          <w:sz w:val="24"/>
          <w:szCs w:val="24"/>
          <w:lang w:eastAsia="zh-CN"/>
        </w:rPr>
        <w:t>, their effects on suitable habitats and biodiversity remain poorly understood. Los Angeles harbors rich biodiversity, compared to highly mobile birds</w:t>
      </w:r>
      <w:r>
        <w:rPr>
          <w:rFonts w:ascii="Times New Roman" w:hAnsi="Times New Roman" w:eastAsiaTheme="minorEastAsia"/>
          <w:sz w:val="24"/>
          <w:szCs w:val="24"/>
          <w:lang w:eastAsia="zh-CN"/>
        </w:rPr>
        <w:fldChar w:fldCharType="begin"/>
      </w:r>
      <w:r>
        <w:rPr>
          <w:rFonts w:ascii="Times New Roman" w:hAnsi="Times New Roman" w:eastAsiaTheme="minorEastAsia"/>
          <w:sz w:val="24"/>
          <w:szCs w:val="24"/>
          <w:lang w:eastAsia="zh-CN"/>
        </w:rPr>
        <w:instrText xml:space="preserve"> ADDIN ZOTERO_ITEM CSL_CITATION {"citationID":"WRnSWEji","properties":{"unsorted":false,"formattedCitation":"(Mendelsohn et al., 2008)","plainCitation":"(Mendelsohn et al., 2008)","noteIndex":0},"citationItems":[{"id":438,"uris":["http://zotero.org/users/17543282/items/78KFA8W2"],"itemData":{"id":438,"type":"article-journal","abstract":"There is a growing body of literature covering the responses of bird species to wildland fire events. Our study was unique among these because we investigated the effects of large-scale wildland fires on entire bird communities across multiple vegetation types. We conducted avian point counts during the breeding seasons for two years before and two years after the Cedar and Otay Fires in 2003 in southern California. Our balanced sampling effort took place at two sites, one low-elevation and one high-elevation, each containing replicate stations (burned and unburned) within five vegetation types: chaparral, coastal sage scrub, grassland, oak woodland, and riparian. Although fire caused some degree of change in the vegetation structure at all of our impacted survey points, we found that the post-fire shrub and tree cover was significantly lower in only two of the vegetation types within the low-elevation site, coastal sage scrub and chaparral. We found no...","container-title":"Fire Ecology","DOI":"10.4996/fireecology.0402063","issue":"2","language":"en","page":"63-82","source":"pubs.usgs.gov","title":"Responses in bird communities to wildland fires in southern California","volume":"4","author":[{"family":"Mendelsohn","given":"Mark B."},{"family":"Brehme","given":"Cheryl S."},{"family":"Rochester","given":"Carlton J."},{"family":"Stokes","given":"Drew C."},{"family":"Hathaway","given":"Stacie A."},{"family":"Fisher","given":"Robert N."}],"issued":{"date-parts":[["2008"]]}}}],"schema":"https://github.com/citation-style-language/schema/raw/master/csl-citation.json"} </w:instrText>
      </w:r>
      <w:r>
        <w:rPr>
          <w:rFonts w:ascii="Times New Roman" w:hAnsi="Times New Roman" w:eastAsiaTheme="minorEastAsia"/>
          <w:sz w:val="24"/>
          <w:szCs w:val="24"/>
          <w:lang w:eastAsia="zh-CN"/>
        </w:rPr>
        <w:fldChar w:fldCharType="separate"/>
      </w:r>
      <w:r>
        <w:rPr>
          <w:rFonts w:ascii="Times New Roman" w:hAnsi="Times New Roman" w:eastAsiaTheme="minorEastAsia"/>
          <w:sz w:val="24"/>
        </w:rPr>
        <w:t>(Mendelsohn et al., 2008)</w:t>
      </w:r>
      <w:r>
        <w:rPr>
          <w:rFonts w:ascii="Times New Roman" w:hAnsi="Times New Roman" w:eastAsiaTheme="minorEastAsia"/>
          <w:sz w:val="24"/>
          <w:szCs w:val="24"/>
          <w:lang w:eastAsia="zh-CN"/>
        </w:rPr>
        <w:fldChar w:fldCharType="end"/>
      </w:r>
      <w:r>
        <w:rPr>
          <w:rFonts w:ascii="Times New Roman" w:hAnsi="Times New Roman" w:eastAsiaTheme="minorEastAsia"/>
          <w:sz w:val="24"/>
          <w:szCs w:val="24"/>
          <w:lang w:eastAsia="zh-CN"/>
        </w:rPr>
        <w:t>, terrestrial vertebrates (amphibian, reptile, and mammal) are more sensitive to habitat alteration and possess limited dispersal capacity under acute disturbance, making them ideal indicator groups for assessing wildfire impacts. Nevertheless, comparative studies examining how wildfires impact distribution patterns across these three classes are scarce.</w:t>
      </w:r>
    </w:p>
    <w:p w14:paraId="0B29543F">
      <w:pPr>
        <w:pStyle w:val="33"/>
        <w:spacing w:line="240" w:lineRule="auto"/>
        <w:ind w:left="0" w:firstLine="0"/>
        <w:rPr>
          <w:rFonts w:ascii="Times New Roman" w:hAnsi="Times New Roman" w:eastAsiaTheme="minorEastAsia"/>
          <w:sz w:val="24"/>
          <w:szCs w:val="24"/>
          <w:lang w:eastAsia="zh-CN"/>
        </w:rPr>
      </w:pPr>
      <w:r>
        <w:rPr>
          <w:rFonts w:ascii="Times New Roman" w:hAnsi="Times New Roman" w:eastAsiaTheme="minorEastAsia"/>
          <w:sz w:val="24"/>
          <w:szCs w:val="24"/>
          <w:lang w:eastAsia="zh-CN"/>
        </w:rPr>
        <w:t>Species distribution models (SDMs), particularly MaxEnt, are widely used to assess potential habitats</w:t>
      </w:r>
      <w:r>
        <w:rPr>
          <w:rFonts w:ascii="Times New Roman" w:hAnsi="Times New Roman" w:eastAsiaTheme="minorEastAsia"/>
          <w:sz w:val="24"/>
          <w:szCs w:val="24"/>
          <w:lang w:eastAsia="zh-CN"/>
        </w:rPr>
        <w:fldChar w:fldCharType="begin"/>
      </w:r>
      <w:r>
        <w:rPr>
          <w:rFonts w:ascii="Times New Roman" w:hAnsi="Times New Roman" w:eastAsiaTheme="minorEastAsia"/>
          <w:sz w:val="24"/>
          <w:szCs w:val="24"/>
          <w:lang w:eastAsia="zh-CN"/>
        </w:rPr>
        <w:instrText xml:space="preserve"> ADDIN ZOTERO_ITEM CSL_CITATION {"citationID":"61Duh9Pf","properties":{"unsorted":false,"formattedCitation":"(Cai J et al., 2014)","plainCitation":"(Cai J et al., 2014)","noteIndex":0},"citationItems":[{"id":291,"uris":["http://zotero.org/users/17543282/items/BXXEBNWM"],"itemData":{"id":291,"type":"article-journal","abstract":"Ecological Niche Models ( ENM) ，as quantized tools to explore diverse issues in habitat selection，species distribution and invasive alien species，could provide a scientific prediction of distributions by relating presence or abundance of species，and have been widely applied in related re-searches． Many ENMs specialized in the different field have been developed to explore related ques-tions，which should be selected by an effective way． And the accuracy of the model prediction is the determinant of model selection，which is restricted on the distribution data and the environment variables． Five representatives ENMs ( GAＲP，MaxEnt，ENFA，BIOCLIM and CLIMEX) were compared in this paper to find out the difference among them． It was strongly suggested that an adaptive ENM or combinations of multiple ENMs would improve the prediction accuracy of modeling．","DOI":"10.13326/j.jea.2014.0012","page":"47-53","source":"ResearchGate","title":"Application of Ecological Niche Models for Selection of Species Habitat","volume":"18","author":[{"literal":"Cai J"},{"family":"Zhang","given":"Mingming"},{"family":"Hai-Jun","given":"SU"},{"family":"Hai-bo","given":"ZHANG"}],"issued":{"date-parts":[["2014",3,7]]}}}],"schema":"https://github.com/citation-style-language/schema/raw/master/csl-citation.json"} </w:instrText>
      </w:r>
      <w:r>
        <w:rPr>
          <w:rFonts w:ascii="Times New Roman" w:hAnsi="Times New Roman" w:eastAsiaTheme="minorEastAsia"/>
          <w:sz w:val="24"/>
          <w:szCs w:val="24"/>
          <w:lang w:eastAsia="zh-CN"/>
        </w:rPr>
        <w:fldChar w:fldCharType="separate"/>
      </w:r>
      <w:r>
        <w:rPr>
          <w:rFonts w:ascii="Times New Roman" w:hAnsi="Times New Roman" w:eastAsiaTheme="minorEastAsia"/>
          <w:sz w:val="24"/>
        </w:rPr>
        <w:t>(Cai J et al., 2014)</w:t>
      </w:r>
      <w:r>
        <w:rPr>
          <w:rFonts w:ascii="Times New Roman" w:hAnsi="Times New Roman" w:eastAsiaTheme="minorEastAsia"/>
          <w:sz w:val="24"/>
          <w:szCs w:val="24"/>
          <w:lang w:eastAsia="zh-CN"/>
        </w:rPr>
        <w:fldChar w:fldCharType="end"/>
      </w:r>
      <w:r>
        <w:rPr>
          <w:rFonts w:ascii="Times New Roman" w:hAnsi="Times New Roman" w:eastAsiaTheme="minorEastAsia"/>
          <w:sz w:val="24"/>
          <w:szCs w:val="24"/>
          <w:lang w:eastAsia="zh-CN"/>
        </w:rPr>
        <w:t>. However, most applications focus on gradual changes in climate and land cover</w:t>
      </w:r>
      <w:r>
        <w:rPr>
          <w:rFonts w:ascii="Times New Roman" w:hAnsi="Times New Roman" w:eastAsiaTheme="minorEastAsia"/>
          <w:sz w:val="24"/>
          <w:szCs w:val="24"/>
          <w:lang w:eastAsia="zh-CN"/>
        </w:rPr>
        <w:fldChar w:fldCharType="begin"/>
      </w:r>
      <w:r>
        <w:rPr>
          <w:rFonts w:ascii="Times New Roman" w:hAnsi="Times New Roman" w:eastAsiaTheme="minorEastAsia"/>
          <w:sz w:val="24"/>
          <w:szCs w:val="24"/>
          <w:lang w:eastAsia="zh-CN"/>
        </w:rPr>
        <w:instrText xml:space="preserve"> ADDIN ZOTERO_ITEM CSL_CITATION {"citationID":"umglG0lx","properties":{"unsorted":false,"formattedCitation":"(Song et al., 2026)","plainCitation":"(Song et al., 2026)","noteIndex":0},"citationItems":[{"id":293,"uris":["http://zotero.org/users/17543282/items/ML47RFEY"],"itemData":{"id":293,"type":"article-journal","abstract":"Global climate change is significantly affecting agricultural patterns; however, its potential impacts on the geographical distribution of economically important crops remain unclear. This study is the first to apply a maximum entropy (MaxEnt) model, optimized using indices such as Omission Rate, Delta AICc to ensure high predictive accuracy (AUC = 0.973), to evaluate the spatiotemporal dynamics of potentially suitable habitats for Clausena lansium. It integrates 178 species distribution points and 44 multi-source environmental variables were integrated to assess these dynamics under three shared socioeconomic pathways (SSP1–2.6, SSP2–4.5, and SSP5–8.5) for current and future scenarios in China. The current potential distribution of C. lansium covers a total suitable area of 6.06 × 105 km2, with highly suitable habitats concentrated in the low-latitude and low-altitude regions of southern China, showing major concentrations in Guangdong, Guangxi, Hainan, Yunnan, and Fujian. The main environmental determinants were the annual temperature range (Bio7), annual mean temperature (Bio1), and precipitation of the driest quarter (Bio17). Future projections suggest a potential overall expansion of suitable habitats, accompanied by a northeastward shift in the distribution centroid. Under the high-emission scenario (SSP5–8.5), the highly suitable area is projected to increase by approximately 119 % by the 2090s. Furthermore, by integrating species distribution modeling with land-use data, priority planting zones covering an area of 3.11 × 105 km2 were delineated. These findings provide a scientific basis for strategic industrial planning, species introduction, and climate risk management of C. lansium, thereby supporting the sustainable development of regional agricultural systems.","container-title":"Ecological Frontiers","DOI":"10.1016/j.ecofro.2025.12.008","ISSN":"2950-5097","issue":"2","journalAbbreviation":"Ecological Frontiers","page":"759-770","source":"ScienceDirect","title":"Climate change effect on the habitat suitability of &lt;i&gt;Clausena lansium&lt;/i&gt; in China via an optimized maximum entropy (MaxEnt) model","volume":"46","author":[{"family":"Song","given":"Jianhua"},{"family":"Ali","given":"Maroof"},{"family":"Yang","given":"Jianbo"},{"family":"Huang","given":"Zhongde"},{"family":"Fang","given":"Zhou"},{"family":"Han","given":"Bing"},{"family":"Zhang","given":"Jiaqi"},{"family":"Zhang","given":"Yujiao"},{"family":"Bai","given":"Yang"}],"issued":{"date-parts":[["2026",4,1]]}}}],"schema":"https://github.com/citation-style-language/schema/raw/master/csl-citation.json"} </w:instrText>
      </w:r>
      <w:r>
        <w:rPr>
          <w:rFonts w:ascii="Times New Roman" w:hAnsi="Times New Roman" w:eastAsiaTheme="minorEastAsia"/>
          <w:sz w:val="24"/>
          <w:szCs w:val="24"/>
          <w:lang w:eastAsia="zh-CN"/>
        </w:rPr>
        <w:fldChar w:fldCharType="separate"/>
      </w:r>
      <w:r>
        <w:rPr>
          <w:rFonts w:ascii="Times New Roman" w:hAnsi="Times New Roman" w:eastAsiaTheme="minorEastAsia"/>
          <w:sz w:val="24"/>
        </w:rPr>
        <w:t>(Song et al., 2026)</w:t>
      </w:r>
      <w:r>
        <w:rPr>
          <w:rFonts w:ascii="Times New Roman" w:hAnsi="Times New Roman" w:eastAsiaTheme="minorEastAsia"/>
          <w:sz w:val="24"/>
          <w:szCs w:val="24"/>
          <w:lang w:eastAsia="zh-CN"/>
        </w:rPr>
        <w:fldChar w:fldCharType="end"/>
      </w:r>
      <w:r>
        <w:rPr>
          <w:rFonts w:ascii="Times New Roman" w:hAnsi="Times New Roman" w:eastAsiaTheme="minorEastAsia"/>
          <w:sz w:val="24"/>
          <w:szCs w:val="24"/>
          <w:lang w:eastAsia="zh-CN"/>
        </w:rPr>
        <w:t>, with few incorporating fire as a dynamic disturbance. Recent advances in multi‑source remote sensing enable efficient monitoring of fire boundaries, burn severity, and vegetation succession, allowing large‑scale, high‑spatiotemporal‑resolution assessment of fire effects</w:t>
      </w:r>
      <w:r>
        <w:rPr>
          <w:rFonts w:ascii="Times New Roman" w:hAnsi="Times New Roman" w:eastAsiaTheme="minorEastAsia"/>
          <w:sz w:val="24"/>
          <w:szCs w:val="24"/>
          <w:lang w:eastAsia="zh-CN"/>
        </w:rPr>
        <w:fldChar w:fldCharType="begin"/>
      </w:r>
      <w:r>
        <w:rPr>
          <w:rFonts w:ascii="Times New Roman" w:hAnsi="Times New Roman" w:eastAsiaTheme="minorEastAsia"/>
          <w:sz w:val="24"/>
          <w:szCs w:val="24"/>
          <w:lang w:eastAsia="zh-CN"/>
        </w:rPr>
        <w:instrText xml:space="preserve"> ADDIN ZOTERO_ITEM CSL_CITATION {"citationID":"48qoZTHy","properties":{"unsorted":false,"formattedCitation":"(Xu et al., 2025)","plainCitation":"(Xu et al., 2025)","noteIndex":0},"citationItems":[{"id":295,"uris":["http://zotero.org/users/17543282/items/G44PNAQW"],"itemData":{"id":295,"type":"article-journal","abstract":"Wildfires pose a significant threat to ecosystems, wildlife, and human communities, leading to habitat destruction, pollutant emissions, and biodiversity loss. Accurate wildfire risk prediction is crucial for mitigating these impacts and safeguarding both environmental and human health. This paper provides a comprehensive review of wildfire risk prediction methodologies, with a particular focus on deep learning approaches combined with remote sensing. We begin by defining wildfire risk and summarizing the geographical distribution of related studies. In terms of data, we analyze key predictive features, including fuel characteristics, meteorological and climatic conditions, socioeconomic factors, topography, and hydrology, while also reviewing publicly available wildfire prediction datasets derived from remote sensing. Additionally, we emphasize the importance of feature collinearity assessment and model interpretability to improve the understanding of prediction outcomes. Regarding methodology, we classify deep learning models into three primary categories: time-series forecasting, image segmentation, and spatiotemporal prediction, and further discuss methods for converting model outputs into risk classifications or probability-adjusted predictions. Finally, we identify the key challenges and limitations of current wildfire-risk prediction models and outline several research opportunities. These include integrating diverse remote sensing data, developing multimodal models, designing more computationally efficient architectures, and incorporating cross-disciplinary methods—such as coupling with numerical weather-prediction models—to enhance the accuracy and robustness of wildfire-risk assessments.","container-title":"ISPRS Journal of Photogrammetry and Remote Sensing","DOI":"10.1016/j.isprsjprs.2025.06.002","ISSN":"0924-2716","journalAbbreviation":"ISPRS Journal of Photogrammetry and Remote Sensing","page":"632-677","source":"ScienceDirect","title":"Deep learning for wildfire risk prediction: Integrating remote sensing and environmental data","title-short":"Deep learning for wildfire risk prediction","volume":"227","author":[{"family":"Xu","given":"Zhengsen"},{"family":"Li","given":"Jonathan"},{"family":"Cheng","given":"Sibo"},{"family":"Rui","given":"Xue"},{"family":"Zhao","given":"Yu"},{"family":"He","given":"Hongjie"},{"family":"Guan","given":"Haiyan"},{"family":"Sharma","given":"Aryan"},{"family":"Erxleben","given":"Matthew"},{"family":"Chang","given":"Ryan"},{"family":"Xu","given":"Lincoln Linlin"}],"issued":{"date-parts":[["2025",9,1]]}}}],"schema":"https://github.com/citation-style-language/schema/raw/master/csl-citation.json"} </w:instrText>
      </w:r>
      <w:r>
        <w:rPr>
          <w:rFonts w:ascii="Times New Roman" w:hAnsi="Times New Roman" w:eastAsiaTheme="minorEastAsia"/>
          <w:sz w:val="24"/>
          <w:szCs w:val="24"/>
          <w:lang w:eastAsia="zh-CN"/>
        </w:rPr>
        <w:fldChar w:fldCharType="separate"/>
      </w:r>
      <w:r>
        <w:rPr>
          <w:rFonts w:ascii="Times New Roman" w:hAnsi="Times New Roman" w:eastAsiaTheme="minorEastAsia"/>
          <w:sz w:val="24"/>
        </w:rPr>
        <w:t>(Xu et al., 2025)</w:t>
      </w:r>
      <w:r>
        <w:rPr>
          <w:rFonts w:ascii="Times New Roman" w:hAnsi="Times New Roman" w:eastAsiaTheme="minorEastAsia"/>
          <w:sz w:val="24"/>
          <w:szCs w:val="24"/>
          <w:lang w:eastAsia="zh-CN"/>
        </w:rPr>
        <w:fldChar w:fldCharType="end"/>
      </w:r>
      <w:r>
        <w:rPr>
          <w:rFonts w:ascii="Times New Roman" w:hAnsi="Times New Roman" w:eastAsiaTheme="minorEastAsia"/>
          <w:sz w:val="24"/>
          <w:szCs w:val="24"/>
          <w:lang w:eastAsia="zh-CN"/>
        </w:rPr>
        <w:t>. Key habitat variables—such as fractional vegetation cover (FVC), land use and land cover (LULC), and topographic wetness index (TWI)—can be derived from remote sensing, providing a reliable basis for quantifying pre‑ to post‑fire habitat changes.</w:t>
      </w:r>
    </w:p>
    <w:p w14:paraId="2DEC29D9">
      <w:pPr>
        <w:pStyle w:val="33"/>
        <w:spacing w:line="240" w:lineRule="auto"/>
        <w:ind w:left="0" w:firstLine="0"/>
        <w:rPr>
          <w:rFonts w:ascii="Times New Roman" w:hAnsi="Times New Roman" w:eastAsiaTheme="minorEastAsia"/>
          <w:sz w:val="24"/>
          <w:szCs w:val="24"/>
          <w:lang w:eastAsia="zh-CN"/>
        </w:rPr>
      </w:pPr>
      <w:r>
        <w:rPr>
          <w:rFonts w:ascii="Times New Roman" w:hAnsi="Times New Roman" w:eastAsiaTheme="minorEastAsia"/>
          <w:sz w:val="24"/>
          <w:szCs w:val="24"/>
          <w:lang w:eastAsia="zh-CN"/>
        </w:rPr>
        <w:t>Traditional global regression models assume spatial stationarity and are increasingly inadequate for capturing the spatially heterogeneous effects of fire. In reality, the impacts of fire on species distributions are modulated by topography and vegetation heterogeneity, resulting in significant spatial non‑stationarity. Geographically weighted regression (GWR) is well‑suited to capture such heterogeneity</w:t>
      </w:r>
      <w:r>
        <w:rPr>
          <w:rFonts w:ascii="Times New Roman" w:hAnsi="Times New Roman" w:eastAsiaTheme="minorEastAsia"/>
          <w:sz w:val="24"/>
          <w:szCs w:val="24"/>
          <w:lang w:eastAsia="zh-CN"/>
        </w:rPr>
        <w:fldChar w:fldCharType="begin"/>
      </w:r>
      <w:r>
        <w:rPr>
          <w:rFonts w:ascii="Times New Roman" w:hAnsi="Times New Roman" w:eastAsiaTheme="minorEastAsia"/>
          <w:sz w:val="24"/>
          <w:szCs w:val="24"/>
          <w:lang w:eastAsia="zh-CN"/>
        </w:rPr>
        <w:instrText xml:space="preserve"> ADDIN ZOTERO_ITEM CSL_CITATION {"citationID":"GyHDlODe","properties":{"unsorted":false,"formattedCitation":"(Lu et al., 2020)","plainCitation":"(Lu et al., 2020)","noteIndex":0},"citationItems":[{"id":298,"uris":["http://zotero.org/users/17543282/items/4D9PWR2V"],"itemData":{"id":298,"type":"article-journal","abstract":"Spatial heterogeneity or non-stationarity in data relationships is one of the hot topics in spatial statistics or relative application fields, while the development of local techniques forms an essential part for the relative studies. Geographically weighted regression (GWR) provides spatially varying coefficient estimates via location-specific weighted regression model calibrations, to explore spatial heterogeneities or non-stationarities, quantitatively. It has been widely used in a number of fields, and become one of the most important tools for exploring spatial heterogeneities in data relationships. We summarized the GWR basics in model calibration, result interpretation, model diagnostics, reviewed its research progress and problems in its applications, respectively. Meanwhile, we sorted out the important extensions of the basic GWR technique, particularly in applying flexible distance metric choices in GWR model calibration, multiscale parameter estimates and spatiotemporal data modeling. In addition, we also introduced the main GWR tools or software accordingly to provide the users or readers comprehensive reference and knowledge on the GWR technique. © 2020, Editorial Board of Geomatics and Information Science of Wuhan University. All right reserved.","container-title":"Wuhan Daxue Xuebao (Xinxi Kexue Ban)/Geomatics and Information Science of Wuhan University","DOI":"10.13203/j.whugis20190346","journalAbbreviation":"Wuhan Daxue Xuebao (Xinxi Kexue Ban)/Geomatics and Information Science of Wuhan University","page":"1356-1366","source":"ResearchGate","title":"A Review on Geographically Weighted Regression","volume":"45","author":[{"family":"Lu","given":"B."},{"family":"Ge","given":"Y."},{"family":"Qin","given":"K."},{"family":"Zheng","given":"J."}],"issued":{"date-parts":[["2020",9,5]]}}}],"schema":"https://github.com/citation-style-language/schema/raw/master/csl-citation.json"} </w:instrText>
      </w:r>
      <w:r>
        <w:rPr>
          <w:rFonts w:ascii="Times New Roman" w:hAnsi="Times New Roman" w:eastAsiaTheme="minorEastAsia"/>
          <w:sz w:val="24"/>
          <w:szCs w:val="24"/>
          <w:lang w:eastAsia="zh-CN"/>
        </w:rPr>
        <w:fldChar w:fldCharType="separate"/>
      </w:r>
      <w:r>
        <w:rPr>
          <w:rFonts w:ascii="Times New Roman" w:hAnsi="Times New Roman" w:eastAsiaTheme="minorEastAsia"/>
          <w:sz w:val="24"/>
        </w:rPr>
        <w:t>(Lu et al., 2020)</w:t>
      </w:r>
      <w:r>
        <w:rPr>
          <w:rFonts w:ascii="Times New Roman" w:hAnsi="Times New Roman" w:eastAsiaTheme="minorEastAsia"/>
          <w:sz w:val="24"/>
          <w:szCs w:val="24"/>
          <w:lang w:eastAsia="zh-CN"/>
        </w:rPr>
        <w:fldChar w:fldCharType="end"/>
      </w:r>
      <w:r>
        <w:rPr>
          <w:rFonts w:ascii="Times New Roman" w:hAnsi="Times New Roman" w:eastAsiaTheme="minorEastAsia"/>
          <w:sz w:val="24"/>
          <w:szCs w:val="24"/>
          <w:lang w:eastAsia="zh-CN"/>
        </w:rPr>
        <w:t>, Multiscale Geographically Weighted Regression (MGWR), evolved from GWR, is an ideal tool to analysis this kind of spatial heterogeneity</w:t>
      </w:r>
      <w:r>
        <w:rPr>
          <w:rFonts w:ascii="Times New Roman" w:hAnsi="Times New Roman" w:eastAsiaTheme="minorEastAsia"/>
          <w:sz w:val="24"/>
          <w:szCs w:val="24"/>
          <w:lang w:eastAsia="zh-CN"/>
        </w:rPr>
        <w:fldChar w:fldCharType="begin"/>
      </w:r>
      <w:r>
        <w:rPr>
          <w:rFonts w:ascii="Times New Roman" w:hAnsi="Times New Roman" w:eastAsiaTheme="minorEastAsia"/>
          <w:sz w:val="24"/>
          <w:szCs w:val="24"/>
          <w:lang w:eastAsia="zh-CN"/>
        </w:rPr>
        <w:instrText xml:space="preserve"> ADDIN ZOTERO_ITEM CSL_CITATION {"citationID":"9umF3sul","properties":{"unsorted":false,"formattedCitation":"(Fotheringham et al., 2017)","plainCitation":"(Fotheringham et al., 2017)","noteIndex":0},"citationItems":[{"id":475,"uris":["http://zotero.org/users/17543282/items/7K6PVW2J"],"itemData":{"id":475,"type":"article-journal","container-title":"Annals of the American Association of Geographers","DOI":"10.1080/24694452.2017.1352480","ISSN":"2469-4452, 2469-4460","issue":"6","journalAbbreviation":"Annals of the American Association of Geographers","language":"en","page":"1247-1265","source":"DOI.org (Crossref)","title":"Multiscale Geographically Weighted Regression (MGWR)","volume":"107","author":[{"family":"Fotheringham","given":"A. Stewart"},{"family":"Yang","given":"Wenbai"},{"family":"Kang","given":"Wei"}],"issued":{"date-parts":[["2017",11,2]]}}}],"schema":"https://github.com/citation-style-language/schema/raw/master/csl-citation.json"} </w:instrText>
      </w:r>
      <w:r>
        <w:rPr>
          <w:rFonts w:ascii="Times New Roman" w:hAnsi="Times New Roman" w:eastAsiaTheme="minorEastAsia"/>
          <w:sz w:val="24"/>
          <w:szCs w:val="24"/>
          <w:lang w:eastAsia="zh-CN"/>
        </w:rPr>
        <w:fldChar w:fldCharType="separate"/>
      </w:r>
      <w:r>
        <w:rPr>
          <w:rFonts w:ascii="Times New Roman" w:hAnsi="Times New Roman" w:eastAsiaTheme="minorEastAsia"/>
          <w:sz w:val="24"/>
        </w:rPr>
        <w:t>(Fotheringham et al., 2017)</w:t>
      </w:r>
      <w:r>
        <w:rPr>
          <w:rFonts w:ascii="Times New Roman" w:hAnsi="Times New Roman" w:eastAsiaTheme="minorEastAsia"/>
          <w:sz w:val="24"/>
          <w:szCs w:val="24"/>
          <w:lang w:eastAsia="zh-CN"/>
        </w:rPr>
        <w:fldChar w:fldCharType="end"/>
      </w:r>
      <w:r>
        <w:rPr>
          <w:rFonts w:ascii="Times New Roman" w:hAnsi="Times New Roman" w:eastAsiaTheme="minorEastAsia"/>
          <w:sz w:val="24"/>
          <w:szCs w:val="24"/>
          <w:lang w:eastAsia="zh-CN"/>
        </w:rPr>
        <w:t>. Although GWR and its variants has been applied to analyze wildfire drivers</w:t>
      </w:r>
      <w:r>
        <w:rPr>
          <w:rFonts w:ascii="Times New Roman" w:hAnsi="Times New Roman" w:eastAsiaTheme="minorEastAsia"/>
          <w:sz w:val="24"/>
          <w:szCs w:val="24"/>
          <w:lang w:eastAsia="zh-CN"/>
        </w:rPr>
        <w:fldChar w:fldCharType="begin"/>
      </w:r>
      <w:r>
        <w:rPr>
          <w:rFonts w:ascii="Times New Roman" w:hAnsi="Times New Roman" w:eastAsiaTheme="minorEastAsia"/>
          <w:sz w:val="24"/>
          <w:szCs w:val="24"/>
          <w:lang w:eastAsia="zh-CN"/>
        </w:rPr>
        <w:instrText xml:space="preserve"> ADDIN ZOTERO_ITEM CSL_CITATION {"citationID":"6QGXVP8V","properties":{"unsorted":false,"formattedCitation":"(Pahlavani et al., 2024)","plainCitation":"(Pahlavani et al., 2024)","noteIndex":0},"citationItems":[{"id":476,"uris":["http://zotero.org/users/17543282/items/34YNRYTU"],"itemData":{"id":476,"type":"article-journal","abstract":"Identifying the underlying factors derived from geospatial and remote sensing data that contribute to forest fires is of paramount importance. It aids experts in pinpointing areas and periods most susceptible to these incidents. In this study, we employ the geographically and temporally weighted regression (GTWR) method in conjunction with a refined continuous invasive weed optimization (CIWO) algorithm to assess certain spatially relevant drivers of forest fires, encompassing both biophysical and anthropogenic influences. Our proposed approach demonstrates theoretical utility in addressing the spatial regression problem by meticulously accounting for the autocorrelation and non-stationarity inherent in spatial data. We leverage tricube and Gaussian kernels to weight the GTWR for two distinct temporal datasets, yielding coefficients of determination (R2) amounting to 0.99 and 0.97, respectively. In contrast, traditional geographically weighted regression (GWR) using the tricube kernel achieved R2 values of 0.87 and 0.88, while the Gaussian kernel yielded R2 values of 0.8138 and 0.82 for the same datasets. This investigation underscores the substantial impact of both biophysical and anthropogenic factors on forest fires within the study areas.","container-title":"Fire","DOI":"10.3390/fire7010033","ISSN":"2571-6255","issue":"1","language":"en","license":"http://creativecommons.org/licenses/by/3.0/","page":"33","publisher":"Multidisciplinary Digital Publishing Institute","source":"www.mdpi.com","title":"Identifying Influential Spatial Drivers of Forest Fires through Geographically and Temporally Weighted Regression Coupled with a Continuous Invasive Weed Optimization Algorithm","volume":"7","author":[{"family":"Pahlavani","given":"Parham"},{"family":"Raei","given":"Amin"},{"family":"Bigdeli","given":"Behnaz"},{"family":"Ghorbanzadeh","given":"Omid"}],"issued":{"date-parts":[["2024",1]]}}}],"schema":"https://github.com/citation-style-language/schema/raw/master/csl-citation.json"} </w:instrText>
      </w:r>
      <w:r>
        <w:rPr>
          <w:rFonts w:ascii="Times New Roman" w:hAnsi="Times New Roman" w:eastAsiaTheme="minorEastAsia"/>
          <w:sz w:val="24"/>
          <w:szCs w:val="24"/>
          <w:lang w:eastAsia="zh-CN"/>
        </w:rPr>
        <w:fldChar w:fldCharType="separate"/>
      </w:r>
      <w:r>
        <w:rPr>
          <w:rFonts w:ascii="Times New Roman" w:hAnsi="Times New Roman" w:eastAsiaTheme="minorEastAsia"/>
          <w:sz w:val="24"/>
        </w:rPr>
        <w:t>(Pahlavani et al., 2024)</w:t>
      </w:r>
      <w:r>
        <w:rPr>
          <w:rFonts w:ascii="Times New Roman" w:hAnsi="Times New Roman" w:eastAsiaTheme="minorEastAsia"/>
          <w:sz w:val="24"/>
          <w:szCs w:val="24"/>
          <w:lang w:eastAsia="zh-CN"/>
        </w:rPr>
        <w:fldChar w:fldCharType="end"/>
      </w:r>
      <w:r>
        <w:rPr>
          <w:rFonts w:ascii="Times New Roman" w:hAnsi="Times New Roman" w:eastAsiaTheme="minorEastAsia"/>
          <w:sz w:val="24"/>
          <w:szCs w:val="24"/>
          <w:lang w:eastAsia="zh-CN"/>
        </w:rPr>
        <w:t>, its use in assessing spatial variation in biodiversity responses to fire remains under‑explored.</w:t>
      </w:r>
    </w:p>
    <w:p w14:paraId="08EAC8DE">
      <w:pPr>
        <w:pStyle w:val="33"/>
        <w:spacing w:line="240" w:lineRule="auto"/>
        <w:ind w:left="0" w:firstLine="0"/>
        <w:rPr>
          <w:rFonts w:ascii="Times New Roman" w:hAnsi="Times New Roman" w:eastAsiaTheme="minorEastAsia"/>
          <w:sz w:val="24"/>
          <w:szCs w:val="24"/>
          <w:lang w:eastAsia="zh-CN"/>
        </w:rPr>
      </w:pPr>
      <w:r>
        <w:rPr>
          <w:rFonts w:ascii="Times New Roman" w:hAnsi="Times New Roman" w:eastAsiaTheme="minorEastAsia"/>
          <w:sz w:val="24"/>
          <w:szCs w:val="24"/>
          <w:lang w:eastAsia="zh-CN"/>
        </w:rPr>
        <w:t>This study aims to address three objectives:(1) delineating the extent and severity of wildfire using high‑resolution Sentinel‑2 imagery and a U‑Net convolutional neural network;(2) mapping the changes in distribution hotspots of terrestrial vertebrate species (mammal, amphibian, and reptile) before and after the 2025 Los Angeles wildfires using MaxEnt;(3) assessing the fire tolerance of different species and the spatial heterogeneity of fire impacts, based on these findings, we have ultimately proposed a preliminary framework for post-fire biodiversity conservation in Los Angeles, along with a practical approach to post-fire management.</w:t>
      </w:r>
    </w:p>
    <w:p w14:paraId="4A2F38CB">
      <w:pPr>
        <w:pStyle w:val="47"/>
        <w:spacing w:line="240" w:lineRule="auto"/>
        <w:ind w:left="0"/>
        <w:rPr>
          <w:rFonts w:ascii="Times New Roman" w:hAnsi="Times New Roman" w:eastAsiaTheme="minorEastAsia"/>
          <w:szCs w:val="24"/>
          <w:lang w:eastAsia="zh-CN"/>
        </w:rPr>
      </w:pPr>
      <w:r>
        <w:rPr>
          <w:rFonts w:ascii="Times New Roman" w:hAnsi="Times New Roman"/>
          <w:szCs w:val="24"/>
          <w:lang w:eastAsia="zh-CN"/>
        </w:rPr>
        <w:t xml:space="preserve">2. </w:t>
      </w:r>
      <w:r>
        <w:rPr>
          <w:rFonts w:ascii="Times New Roman" w:hAnsi="Times New Roman"/>
          <w:szCs w:val="24"/>
        </w:rPr>
        <w:t>Materials and Methods</w:t>
      </w:r>
    </w:p>
    <w:p w14:paraId="272B5B2C">
      <w:pPr>
        <w:pStyle w:val="48"/>
        <w:spacing w:before="240" w:line="240" w:lineRule="auto"/>
        <w:ind w:left="0"/>
        <w:rPr>
          <w:rFonts w:ascii="Times New Roman" w:hAnsi="Times New Roman" w:eastAsiaTheme="minorEastAsia"/>
          <w:i w:val="0"/>
          <w:iCs/>
          <w:sz w:val="24"/>
          <w:szCs w:val="24"/>
          <w:lang w:eastAsia="zh-CN"/>
        </w:rPr>
      </w:pPr>
      <w:r>
        <w:rPr>
          <w:rFonts w:ascii="Times New Roman" w:hAnsi="Times New Roman" w:eastAsiaTheme="minorEastAsia"/>
          <w:i w:val="0"/>
          <w:iCs/>
          <w:sz w:val="24"/>
          <w:szCs w:val="24"/>
          <w:lang w:eastAsia="zh-CN"/>
        </w:rPr>
        <w:t>2.1 Study Area</w:t>
      </w:r>
    </w:p>
    <w:p w14:paraId="0F4852AB">
      <w:pPr>
        <w:pStyle w:val="33"/>
        <w:spacing w:line="240" w:lineRule="auto"/>
        <w:ind w:left="0" w:firstLine="0"/>
        <w:rPr>
          <w:rFonts w:ascii="Times New Roman" w:hAnsi="Times New Roman" w:eastAsiaTheme="minorEastAsia"/>
          <w:sz w:val="24"/>
          <w:szCs w:val="24"/>
          <w:lang w:eastAsia="zh-CN"/>
        </w:rPr>
      </w:pPr>
      <w:r>
        <w:rPr>
          <w:rFonts w:ascii="Times New Roman" w:hAnsi="Times New Roman" w:eastAsiaTheme="minorEastAsia"/>
          <w:sz w:val="24"/>
          <w:szCs w:val="24"/>
          <w:lang w:eastAsia="zh-CN"/>
        </w:rPr>
        <w:t>Los Angeles is located in southern California, USA, with a land area of approximately 1,215 km². Situated in a Pacific coastal basin, land use there comprises a highly heterogeneous urban–natural mosaic, natural land cover is concentrated mainly in the central mountains and parts of the southwestern coast, whereas the southern and southeastern areas are predominantly built-up. Los Angeles has a Mediterranean climate, wet winters and dry summers drive rapid biomass accumulation and the subsequent formation of abundant summer fuels</w:t>
      </w:r>
      <w:r>
        <w:rPr>
          <w:rFonts w:ascii="Times New Roman" w:hAnsi="Times New Roman" w:eastAsiaTheme="minorEastAsia"/>
          <w:sz w:val="24"/>
          <w:szCs w:val="24"/>
          <w:lang w:eastAsia="zh-CN"/>
        </w:rPr>
        <w:fldChar w:fldCharType="begin"/>
      </w:r>
      <w:r>
        <w:rPr>
          <w:rFonts w:ascii="Times New Roman" w:hAnsi="Times New Roman" w:eastAsiaTheme="minorEastAsia"/>
          <w:sz w:val="24"/>
          <w:szCs w:val="24"/>
          <w:lang w:eastAsia="zh-CN"/>
        </w:rPr>
        <w:instrText xml:space="preserve"> ADDIN ZOTERO_ITEM CSL_CITATION {"citationID":"tOU8VQgb","properties":{"formattedCitation":"(Rundel et al., 2018)","plainCitation":"(Rundel et al., 2018)","noteIndex":0},"citationItems":[{"id":301,"uris":["http://zotero.org/users/17543282/items/9PSP7FMG"],"itemData":{"id":301,"type":"article-journal","abstract":"Despite decades of broad interest in global patterns of biodiversity, little attention has been given to understanding the remarkable levels of plant diversity present in the world’s five Mediterranean-type climate (MTC) regions, all of which are considered to be biodiversity hotspots. Comprising the Mediterranean Basin, California, central Chile, the Cape Region of South Africa, and southwestern Australia, these regions share the unusual climatic regime of mild wet winters and warm dry summers. Despite their small extent, covering only about 2.2% of world land area, these regions are home to approximately one-sixth of the world vascular plant flora. The onset of MTCs in the middle Miocene brought summer drought, a novel climatic condition, but also a regime of recurrent fire. Fire has been a significant agent of selection in assembling the modern floras of four of the five MTC regions, with central Chile an exception following the uplift of the Andes in the middle Miocene. Selection for persistence in a fire-prone environment as a key causal factor for species diversification in MTC regions has been under-appreciated or ignored. Mechanisms for fire-driven speciation are diverse and may include both directional (novel traits) and stabilizing selection (retained traits) for appropriate morphological and life-history traits. Both museum and nursery hypotheses have important relevance in explaining the extant species richness of the MTC floras, with fire as a strong stimulant for diversification in a manner distinct from other temperate floras. Spatial and temporal niche separation across topographic, climatic and edaphic gradients has occurred in all five regions. The Mediterranean Basin, California, and central Chile are seen as nurseries for strong but not spectacular rates of Neogene diversification, while the older landscapes of southwestern Australia and the Cape Region show significant components of both Paleogene and younger Neogene speciation in their diversity. Low rates of extinction suggesting a long association with fire more than high rates of speciation have been key to the extant levels of species richness.","container-title":"Frontiers in Plant Science","DOI":"10.3389/fpls.2018.00851","journalAbbreviation":"Frontiers in Plant Science","page":"851","source":"ResearchGate","title":"Fire and Plant Diversification in Mediterranean-Climate Regions","volume":"9","author":[{"family":"Rundel","given":"Philip"},{"family":"Kalin","given":"Mary"},{"family":"Keeley","given":"Jon"},{"family":"Lamont","given":"Byron"},{"family":"Pausas","given":"Juli"},{"family":"Vargas","given":"Pablo"}],"issued":{"date-parts":[["2018",7,3]]}}}],"schema":"https://github.com/citation-style-language/schema/raw/master/csl-citation.json"} </w:instrText>
      </w:r>
      <w:r>
        <w:rPr>
          <w:rFonts w:ascii="Times New Roman" w:hAnsi="Times New Roman" w:eastAsiaTheme="minorEastAsia"/>
          <w:sz w:val="24"/>
          <w:szCs w:val="24"/>
          <w:lang w:eastAsia="zh-CN"/>
        </w:rPr>
        <w:fldChar w:fldCharType="separate"/>
      </w:r>
      <w:r>
        <w:rPr>
          <w:rFonts w:ascii="Times New Roman" w:hAnsi="Times New Roman" w:eastAsiaTheme="minorEastAsia"/>
          <w:sz w:val="24"/>
        </w:rPr>
        <w:t>(Rundel et al., 2018)</w:t>
      </w:r>
      <w:r>
        <w:rPr>
          <w:rFonts w:ascii="Times New Roman" w:hAnsi="Times New Roman" w:eastAsiaTheme="minorEastAsia"/>
          <w:sz w:val="24"/>
          <w:szCs w:val="24"/>
          <w:lang w:eastAsia="zh-CN"/>
        </w:rPr>
        <w:fldChar w:fldCharType="end"/>
      </w:r>
      <w:r>
        <w:rPr>
          <w:rFonts w:ascii="Times New Roman" w:hAnsi="Times New Roman" w:eastAsiaTheme="minorEastAsia"/>
          <w:sz w:val="24"/>
          <w:szCs w:val="24"/>
          <w:lang w:eastAsia="zh-CN"/>
        </w:rPr>
        <w:t>, and frequent wind events promote the ignition and rapid spread of extreme wildfires. These wildfires frequently encroach upon the urban–natural interface</w:t>
      </w:r>
      <w:r>
        <w:rPr>
          <w:rFonts w:ascii="Times New Roman" w:hAnsi="Times New Roman" w:eastAsiaTheme="minorEastAsia"/>
          <w:sz w:val="24"/>
          <w:szCs w:val="24"/>
          <w:lang w:eastAsia="zh-CN"/>
        </w:rPr>
        <w:fldChar w:fldCharType="begin"/>
      </w:r>
      <w:r>
        <w:rPr>
          <w:rFonts w:ascii="Times New Roman" w:hAnsi="Times New Roman" w:eastAsiaTheme="minorEastAsia"/>
          <w:sz w:val="24"/>
          <w:szCs w:val="24"/>
          <w:lang w:eastAsia="zh-CN"/>
        </w:rPr>
        <w:instrText xml:space="preserve"> ADDIN ZOTERO_ITEM CSL_CITATION {"citationID":"fOC7bXnA","properties":{"formattedCitation":"(Ermit\\uc0\\u227{}o et al., 2024; Zabeo et al., 2025)","plainCitation":"(Ermitão et al., 2024; Zabeo et al., 2025)","noteIndex":0},"citationItems":[{"id":310,"uris":["http://zotero.org/users/17543282/items/IYWV4WHU"],"itemData":{"id":310,"type":"article-journal","abstract":"In fire‐prone regions such as the Mediterranean biome, fire seasons are becoming longer, and fires are becoming more frequent and severe. Post‐fire recovery dynamics is a key component of ecosystem resilience and stability. Even though Mediterranean ecosystems can tolerate high exposure to extreme temperatures and recover from fire, changes in climate conditions and fire intensity or frequency might contribute to loss of ecosystem resilience and increase the potential for irreversible changes in vegetation communities. In this study, we assess the recovery rates of burned vegetation after recurrent fires across Mediterranean regions globally, based on remotely sensed Enhanced Vegetation Index (EVI) data, a proxy for vegetation status, from 2001 to 2022. Recovery rates are quantified through a statistical model of EVI time‐series. This approach allows resolving recovery dynamics in time and space, overcoming the limitations of space‐for‐time approaches typically used to study recovery dynamics through remote sensing. We focus on pixels burning repeatedly over the study period and evaluate how fire severity, pre‐fire vegetation greenness, and post‐fire climate conditions modulate vegetation recovery rates of different vegetation types. We detect large contrasts between recovery rates, mostly explained by regional differences in vegetation type. Particularly, needle‐leaved forests tend to recover faster following the second event, contrasting with shrublands that tend to recover faster from the first event. Our results also show that fire severity can promote a faster recovery across forested ecosystems. An important modulating role of pre‐fire fuel conditions on fire severity is also detected, with pixels with higher EVI before the fire resulting in stronger relative greenness loss. In addition, post‐fire climate conditions, particularly air temperature and precipitation, were found to modulate recovery speed across all regions, highlighting how direct impacts of fire can compound with impacts from climate anomalies in time and likely destabilise ecosystems under changing climate conditions.","container-title":"Global Change Biology","DOI":"10.1111/gcb.70013","journalAbbreviation":"Global Change Biology","source":"ResearchGate","title":"Recovery Following Recurrent Fires Across Mediterranean Ecosystems","volume":"30","author":[{"family":"Ermitão","given":"Tiago"},{"family":"Gouveia","given":"Célia"},{"family":"Bastos","given":"Ana"},{"family":"Russo","given":"Ana"}],"issued":{"date-parts":[["2024",12,27]]}},"label":"page"},{"id":308,"uris":["http://zotero.org/users/17543282/items/FT989XMS"],"itemData":{"id":308,"type":"article-journal","abstract":"Forest fires are a frequent disturbance in the Mediterranean Basin, and native vegetation has evolved adaptations to them. However, climate-driven changes in fire regime increase the need to monitor post-fire recovery, especially under large, high-severity events, shifts in climate, and repeated burning. Post-fire vegetation dynamics using Sentinel-2 Normalized Burn Ratio (NBR) time series were analyzed in four common Mediterranean forest and shrubland types (</w:instrText>
      </w:r>
      <w:r>
        <w:rPr>
          <w:rFonts w:ascii="Cambria Math" w:hAnsi="Cambria Math" w:cs="Cambria Math" w:eastAsiaTheme="minorEastAsia"/>
          <w:sz w:val="24"/>
          <w:szCs w:val="24"/>
          <w:lang w:eastAsia="zh-CN"/>
        </w:rPr>
        <w:instrText xml:space="preserve">∼</w:instrText>
      </w:r>
      <w:r>
        <w:rPr>
          <w:rFonts w:ascii="Times New Roman" w:hAnsi="Times New Roman" w:eastAsiaTheme="minorEastAsia"/>
          <w:sz w:val="24"/>
          <w:szCs w:val="24"/>
          <w:lang w:eastAsia="zh-CN"/>
        </w:rPr>
        <w:instrText xml:space="preserve">4500 ha burned in six 2017 summer wildfires in Sicily). Using TIMESAT, phenology metrics were extracted from NBR and recovery for up to 76 months (Aug 2017-Dec 2023) post-fire was tracked. High-resolution Google Earth imagery supported physiognomic classification, while Random Forest models assessed the influence of burn severity, climate, reburning, and topography. Mediterranean maquis showed the fastest recovery, reaching pre-fire NBR values within 4, 6, and 8 months under low, moderate, and high severity, respectively. By contrast, conifer reforestations recovered poorly, rarely returning to pre-fire levels even at low severity, a pattern confirmed by analysis of Google Earth imagery. Results from Random Forest models highlighted pre-fire conditions among the top predictors for all vegetation types. Fire severity strongly influenced Quercus ilex forests and maquis, whereas climate variables were more significant for Eucalyptus spp. plantations and conifers. Reburning and topography were less influential. Overall, Mediterranean maquis was the most resilient, while conifer reforestations were the least. These findings stress the importance of monitoring systems to guide land management, identify areas with poor recovery, and detect ongoing ecosystem degradation.","container-title":"Ecological Informatics","DOI":"10.1016/j.ecoinf.2025.103508","journalAbbreviation":"Ecological Informatics","page":"103508","source":"ResearchGate","title":"Unveiling short-term variability in post-fire recovery of Mediterranean vegetation with Sentinel-2 time series analysis","volume":"92","author":[{"family":"Zabeo","given":"Chiara"},{"family":"Mengist","given":"Mulatu"},{"family":"Ogunyemi","given":"Olakunle"},{"family":"Barbati","given":"Anna"}],"issued":{"date-parts":[["2025",11,1]]}},"label":"page"}],"schema":"https://github.com/citation-style-language/schema/raw/master/csl-citation.json"} </w:instrText>
      </w:r>
      <w:r>
        <w:rPr>
          <w:rFonts w:ascii="Times New Roman" w:hAnsi="Times New Roman" w:eastAsiaTheme="minorEastAsia"/>
          <w:sz w:val="24"/>
          <w:szCs w:val="24"/>
          <w:lang w:eastAsia="zh-CN"/>
        </w:rPr>
        <w:fldChar w:fldCharType="separate"/>
      </w:r>
      <w:r>
        <w:rPr>
          <w:rFonts w:ascii="Times New Roman" w:hAnsi="Times New Roman"/>
          <w:sz w:val="24"/>
        </w:rPr>
        <w:t>(Ermitão et al., 2024; Zabeo et al., 2025)</w:t>
      </w:r>
      <w:r>
        <w:rPr>
          <w:rFonts w:ascii="Times New Roman" w:hAnsi="Times New Roman" w:eastAsiaTheme="minorEastAsia"/>
          <w:sz w:val="24"/>
          <w:szCs w:val="24"/>
          <w:lang w:eastAsia="zh-CN"/>
        </w:rPr>
        <w:fldChar w:fldCharType="end"/>
      </w:r>
      <w:r>
        <w:rPr>
          <w:rFonts w:ascii="Times New Roman" w:hAnsi="Times New Roman" w:eastAsiaTheme="minorEastAsia"/>
          <w:sz w:val="24"/>
          <w:szCs w:val="24"/>
          <w:lang w:eastAsia="zh-CN"/>
        </w:rPr>
        <w:t>, severely disrupting species habitats and biodiversity</w:t>
      </w:r>
      <w:r>
        <w:rPr>
          <w:rFonts w:ascii="Times New Roman" w:hAnsi="Times New Roman" w:eastAsiaTheme="minorEastAsia"/>
          <w:sz w:val="24"/>
          <w:szCs w:val="24"/>
          <w:lang w:eastAsia="zh-CN"/>
        </w:rPr>
        <w:fldChar w:fldCharType="begin"/>
      </w:r>
      <w:r>
        <w:rPr>
          <w:rFonts w:ascii="Times New Roman" w:hAnsi="Times New Roman" w:eastAsiaTheme="minorEastAsia"/>
          <w:sz w:val="24"/>
          <w:szCs w:val="24"/>
          <w:lang w:eastAsia="zh-CN"/>
        </w:rPr>
        <w:instrText xml:space="preserve"> ADDIN ZOTERO_ITEM CSL_CITATION {"citationID":"fxeujwsX","properties":{"formattedCitation":"(Goldberg et al., 2025)","plainCitation":"(Goldberg et al., 2025)","noteIndex":0},"citationItems":[{"id":314,"uris":["http://zotero.org/users/17543282/items/JVCP39ML"],"itemData":{"id":314,"type":"article-journal","abstract":"Context\nChanges in climate and associated disturbance regimes are altering patterns of biodiversity by shifting macroenvironmental conditions and modifying the structure and composition of critical habitat. These threats require understanding the climate vulnerability of species habitat to inform conservation planning.\n\nObjectives\nWe developed a framework to address this need for the Mexican spotted owl (Strix occidentalis lucida), a species whose range is experiencing widespread climate-driven increases in wildfire and drought that can have adverse impacts upon large, old trees, a vital habitat element for owl nesting and roosting.\n\nMethods\nWe leveraged broad-scale data describing owl habitat quality, predicted fire severity, and tree recruitment probability to quantify the vulnerability of this species’ habitat in the southwestern United States.\n\nResults\nOwl habitat quality was positively associated with predicted fire severity and negatively associated with tree recruitment potential, indicating that portions of the Mexican spotted owl’s existing range may be vulnerable to forest recruitment failure and, under extreme weather, high-severity wildfire. Despite these patterns, we also identified large patches of high-quality habitat that have the potential to resist high-severity fire and foster tree recruitment, which are likely to sustain current forest communities, and owl nesting and roosting habitat in the near-term.\n\nConclusions\nIn identifying the relative vulnerability of habitat across a broad spatial extent, our framework provides a valuable tool for the conservation of this and other old-forest-obligate species, and habitat specialists in general. More broadly, the framework we have developed may help prioritize limited conservation resources to effectively promote biodiversity in an increasingly dynamic world.","container-title":"Landscape Ecology","DOI":"10.1007/s10980-025-02171-4","journalAbbreviation":"Landscape Ecology","source":"ResearchGate","title":"Characterizing climate- and fire-driven habitat vulnerability for an old-forest species","volume":"40","author":[{"family":"Goldberg","given":"Joshua"},{"family":"Rodman","given":"Kyle"},{"family":"Jones","given":"Gavin"}],"issued":{"date-parts":[["2025",8,4]]}}}],"schema":"https://github.com/citation-style-language/schema/raw/master/csl-citation.json"} </w:instrText>
      </w:r>
      <w:r>
        <w:rPr>
          <w:rFonts w:ascii="Times New Roman" w:hAnsi="Times New Roman" w:eastAsiaTheme="minorEastAsia"/>
          <w:sz w:val="24"/>
          <w:szCs w:val="24"/>
          <w:lang w:eastAsia="zh-CN"/>
        </w:rPr>
        <w:fldChar w:fldCharType="separate"/>
      </w:r>
      <w:r>
        <w:rPr>
          <w:rFonts w:ascii="Times New Roman" w:hAnsi="Times New Roman" w:eastAsiaTheme="minorEastAsia"/>
          <w:sz w:val="24"/>
        </w:rPr>
        <w:t>(Goldberg et al., 2025)</w:t>
      </w:r>
      <w:r>
        <w:rPr>
          <w:rFonts w:ascii="Times New Roman" w:hAnsi="Times New Roman" w:eastAsiaTheme="minorEastAsia"/>
          <w:sz w:val="24"/>
          <w:szCs w:val="24"/>
          <w:lang w:eastAsia="zh-CN"/>
        </w:rPr>
        <w:fldChar w:fldCharType="end"/>
      </w:r>
      <w:r>
        <w:rPr>
          <w:rFonts w:ascii="Times New Roman" w:hAnsi="Times New Roman" w:eastAsiaTheme="minorEastAsia"/>
          <w:sz w:val="24"/>
          <w:szCs w:val="24"/>
          <w:lang w:eastAsia="zh-CN"/>
        </w:rPr>
        <w:t>. The unique climate–fire regime and complex land surface of the region provide a typical model for quantifying the ecological effects of wildfires on biodiversity and their spatial heterogeneity.</w:t>
      </w:r>
    </w:p>
    <w:p w14:paraId="51AA36C2">
      <w:pPr>
        <w:pStyle w:val="33"/>
        <w:spacing w:line="240" w:lineRule="auto"/>
        <w:ind w:left="0" w:firstLine="0"/>
        <w:rPr>
          <w:rFonts w:ascii="Times New Roman" w:hAnsi="Times New Roman" w:eastAsiaTheme="minorEastAsia"/>
          <w:sz w:val="24"/>
          <w:szCs w:val="24"/>
          <w:lang w:eastAsia="zh-CN"/>
        </w:rPr>
      </w:pPr>
      <w:r>
        <w:rPr>
          <w:rFonts w:ascii="Times New Roman" w:hAnsi="Times New Roman" w:eastAsiaTheme="minorEastAsia"/>
          <w:snapToGrid/>
          <w:sz w:val="24"/>
          <w:szCs w:val="24"/>
          <w:lang w:eastAsia="zh-CN"/>
        </w:rPr>
        <w:drawing>
          <wp:inline distT="0" distB="0" distL="0" distR="0">
            <wp:extent cx="6645910" cy="4695825"/>
            <wp:effectExtent l="0" t="0" r="2540" b="9525"/>
            <wp:docPr id="955691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691862" name="图片 1"/>
                    <pic:cNvPicPr>
                      <a:picLocks noChangeAspect="1"/>
                    </pic:cNvPicPr>
                  </pic:nvPicPr>
                  <pic:blipFill>
                    <a:blip r:embed="rId11"/>
                    <a:stretch>
                      <a:fillRect/>
                    </a:stretch>
                  </pic:blipFill>
                  <pic:spPr>
                    <a:xfrm>
                      <a:off x="0" y="0"/>
                      <a:ext cx="6645910" cy="4696387"/>
                    </a:xfrm>
                    <a:prstGeom prst="rect">
                      <a:avLst/>
                    </a:prstGeom>
                  </pic:spPr>
                </pic:pic>
              </a:graphicData>
            </a:graphic>
          </wp:inline>
        </w:drawing>
      </w:r>
    </w:p>
    <w:p w14:paraId="3C178FBC">
      <w:pPr>
        <w:pStyle w:val="33"/>
        <w:spacing w:line="240" w:lineRule="auto"/>
        <w:ind w:left="0" w:firstLine="0"/>
        <w:jc w:val="center"/>
        <w:rPr>
          <w:rFonts w:ascii="Times New Roman" w:hAnsi="Times New Roman" w:eastAsiaTheme="minorEastAsia"/>
          <w:sz w:val="24"/>
          <w:szCs w:val="24"/>
          <w:lang w:eastAsia="zh-CN"/>
        </w:rPr>
      </w:pPr>
      <w:r>
        <w:rPr>
          <w:rFonts w:ascii="Times New Roman" w:hAnsi="Times New Roman" w:eastAsiaTheme="minorEastAsia"/>
          <w:sz w:val="24"/>
          <w:szCs w:val="24"/>
          <w:lang w:eastAsia="zh-CN"/>
        </w:rPr>
        <w:t>Figure 1. Overview of the study area. Left: location of the study area; Right: land use and land cover within the study area</w:t>
      </w:r>
    </w:p>
    <w:p w14:paraId="666D3D81">
      <w:pPr>
        <w:pStyle w:val="48"/>
        <w:spacing w:before="240" w:line="240" w:lineRule="auto"/>
        <w:ind w:left="0"/>
        <w:rPr>
          <w:rFonts w:ascii="Times New Roman" w:hAnsi="Times New Roman" w:eastAsiaTheme="minorEastAsia"/>
          <w:i w:val="0"/>
          <w:iCs/>
          <w:sz w:val="24"/>
          <w:szCs w:val="24"/>
          <w:lang w:eastAsia="zh-CN"/>
        </w:rPr>
      </w:pPr>
      <w:r>
        <w:rPr>
          <w:rFonts w:ascii="Times New Roman" w:hAnsi="Times New Roman" w:eastAsiaTheme="minorEastAsia"/>
          <w:i w:val="0"/>
          <w:iCs/>
          <w:sz w:val="24"/>
          <w:szCs w:val="24"/>
          <w:lang w:eastAsia="zh-CN"/>
        </w:rPr>
        <w:t>2.2</w:t>
      </w:r>
      <w:r>
        <w:rPr>
          <w:rFonts w:ascii="Times New Roman" w:hAnsi="Times New Roman"/>
          <w:i w:val="0"/>
          <w:iCs/>
          <w:sz w:val="24"/>
          <w:szCs w:val="24"/>
        </w:rPr>
        <w:t xml:space="preserve"> </w:t>
      </w:r>
      <w:r>
        <w:rPr>
          <w:rFonts w:ascii="Times New Roman" w:hAnsi="Times New Roman" w:eastAsiaTheme="minorEastAsia"/>
          <w:i w:val="0"/>
          <w:iCs/>
          <w:sz w:val="24"/>
          <w:szCs w:val="24"/>
          <w:lang w:eastAsia="zh-CN"/>
        </w:rPr>
        <w:t>Wildfire Extraction Using Sentinel-2 and U-Net</w:t>
      </w:r>
    </w:p>
    <w:p w14:paraId="3F8DFCAC">
      <w:pPr>
        <w:pStyle w:val="33"/>
        <w:spacing w:line="240" w:lineRule="auto"/>
        <w:ind w:left="0" w:firstLine="0"/>
        <w:rPr>
          <w:rFonts w:ascii="Times New Roman" w:hAnsi="Times New Roman" w:eastAsiaTheme="minorEastAsia"/>
          <w:sz w:val="24"/>
          <w:szCs w:val="24"/>
          <w:lang w:eastAsia="zh-CN"/>
        </w:rPr>
      </w:pPr>
      <w:r>
        <w:rPr>
          <w:rFonts w:ascii="Times New Roman" w:hAnsi="Times New Roman" w:eastAsiaTheme="minorEastAsia"/>
          <w:sz w:val="24"/>
          <w:szCs w:val="24"/>
          <w:lang w:eastAsia="zh-CN"/>
        </w:rPr>
        <w:t>Currently widely used global burned area products (such as MCD64A1, GFED4 and GIO-GL1) have relatively coarse spatial resolution, which limits their ability to identify small-scale and highly fragmented wildfire events</w:t>
      </w:r>
      <w:r>
        <w:rPr>
          <w:rFonts w:ascii="Times New Roman" w:hAnsi="Times New Roman" w:eastAsiaTheme="minorEastAsia"/>
          <w:sz w:val="24"/>
          <w:szCs w:val="24"/>
          <w:lang w:eastAsia="zh-CN"/>
        </w:rPr>
        <w:fldChar w:fldCharType="begin"/>
      </w:r>
      <w:r>
        <w:rPr>
          <w:rFonts w:ascii="Times New Roman" w:hAnsi="Times New Roman" w:eastAsiaTheme="minorEastAsia"/>
          <w:sz w:val="24"/>
          <w:szCs w:val="24"/>
          <w:lang w:eastAsia="zh-CN"/>
        </w:rPr>
        <w:instrText xml:space="preserve"> ADDIN ZOTERO_ITEM CSL_CITATION {"citationID":"ATzliTRM","properties":{"formattedCitation":"(Roy &amp; Boschetti, 2009)","plainCitation":"(Roy &amp; Boschetti, 2009)","noteIndex":0},"citationItems":[{"id":316,"uris":["http://zotero.org/users/17543282/items/HIRPJWIA"],"itemData":{"id":316,"type":"article-journal","abstract":"Three available global multi-annual burned area products (L3JRC, GlobCarbon, and MODIS) are validated for a burning season across southern Africa. Validation is undertaken using the same independent reference data and using the same validation and reporting protocol. The independent reference data were derived by interpreting multitemporal Landsat Enhanced Thematic Mapper Plus data to map the location and approximate date of burning at 11 Landsat scenes distributed across southern Africa and covering approximately 295 000 km2. The accuracy of the products was quantified using metrics derived from confusion matrices to characterize product accuracy for local applications and using metrics derived through a linear regression on a 5 times 5 km grid to characterize product accuracy for coarser scale applications. Quantitative results are described, and the differences between the products are discussed.","container-title":"IEEE Transactions on Geoscience and Remote Sensing","DOI":"10.1109/TGRS.2008.2009000","ISSN":"1558-0644","issue":"4","page":"1032-1044","source":"IEEE Xplore","title":"Southern Africa Validation of the MODIS, L3JRC, and GlobCarbon Burned-Area Products","volume":"47","author":[{"family":"Roy","given":"David P."},{"family":"Boschetti","given":"Luigi"}],"issued":{"date-parts":[["2009",4]]}}}],"schema":"https://github.com/citation-style-language/schema/raw/master/csl-citation.json"} </w:instrText>
      </w:r>
      <w:r>
        <w:rPr>
          <w:rFonts w:ascii="Times New Roman" w:hAnsi="Times New Roman" w:eastAsiaTheme="minorEastAsia"/>
          <w:sz w:val="24"/>
          <w:szCs w:val="24"/>
          <w:lang w:eastAsia="zh-CN"/>
        </w:rPr>
        <w:fldChar w:fldCharType="separate"/>
      </w:r>
      <w:r>
        <w:rPr>
          <w:rFonts w:ascii="Times New Roman" w:hAnsi="Times New Roman" w:eastAsiaTheme="minorEastAsia"/>
          <w:sz w:val="24"/>
        </w:rPr>
        <w:t>(Roy &amp; Boschetti, 2009)</w:t>
      </w:r>
      <w:r>
        <w:rPr>
          <w:rFonts w:ascii="Times New Roman" w:hAnsi="Times New Roman" w:eastAsiaTheme="minorEastAsia"/>
          <w:sz w:val="24"/>
          <w:szCs w:val="24"/>
          <w:lang w:eastAsia="zh-CN"/>
        </w:rPr>
        <w:fldChar w:fldCharType="end"/>
      </w:r>
      <w:r>
        <w:rPr>
          <w:rFonts w:ascii="Times New Roman" w:hAnsi="Times New Roman" w:eastAsiaTheme="minorEastAsia"/>
          <w:sz w:val="24"/>
          <w:szCs w:val="24"/>
          <w:lang w:eastAsia="zh-CN"/>
        </w:rPr>
        <w:t>. Furthermore, due to mixed-pixel effect, these products are often subject to a high degree of uncertainty in landscapes characterized by significant heterogeneity</w:t>
      </w:r>
      <w:r>
        <w:rPr>
          <w:rFonts w:ascii="Times New Roman" w:hAnsi="Times New Roman" w:eastAsiaTheme="minorEastAsia"/>
          <w:sz w:val="24"/>
          <w:szCs w:val="24"/>
          <w:lang w:eastAsia="zh-CN"/>
        </w:rPr>
        <w:fldChar w:fldCharType="begin"/>
      </w:r>
      <w:r>
        <w:rPr>
          <w:rFonts w:ascii="Times New Roman" w:hAnsi="Times New Roman" w:eastAsiaTheme="minorEastAsia"/>
          <w:sz w:val="24"/>
          <w:szCs w:val="24"/>
          <w:lang w:eastAsia="zh-CN"/>
        </w:rPr>
        <w:instrText xml:space="preserve"> ADDIN ZOTERO_ITEM CSL_CITATION {"citationID":"qldrXURu","properties":{"formattedCitation":"(Chuvieco et al., 2019)","plainCitation":"(Chuvieco et al., 2019)","noteIndex":0},"citationItems":[{"id":317,"uris":["http://zotero.org/users/17543282/items/ETFEDAFS"],"itemData":{"id":317,"type":"article-journal","abstract":"Fire has a diverse range of impacts on Earth's physical and social systems. Accurate and up to date information on areas affected by fire is critical to better understand drivers of fire activity, as well as its relevance for biogeochemical cycles, climate, air quality, and to aid fire management. Mapping burned areas was traditionally done from field sketches. With the launch of the first Earth observation satellites, remote sensing quickly became a more practical alternative to detect burned areas, as they provide timely regional and global coverage of fire occurrence. This review paper explores the physical basis to detect burned area from satellite observations, describes the historical trends of using satellite sensors to monitor burned areas, summarizes the most recent approaches to map burned areas and evaluates the existing burned area products (both at global and regional scales). Finally, it identifies potential future opportunities to further improve burned area detection from Earth observation satellites.","container-title":"Remote Sensing of Environment","DOI":"10.1016/j.rse.2019.02.013","ISSN":"0034-4257","journalAbbreviation":"Remote Sensing of Environment","page":"45-64","source":"ScienceDirect","title":"Historical background and current developments for mapping burned area from satellite Earth observation","volume":"225","author":[{"family":"Chuvieco","given":"Emilio"},{"family":"Mouillot","given":"Florent"},{"family":"Werf","given":"Guido R.","non-dropping-particle":"van der"},{"family":"San Miguel","given":"Jesús"},{"family":"Tanase","given":"Mihai"},{"family":"Koutsias","given":"Nikos"},{"family":"García","given":"Mariano"},{"family":"Yebra","given":"Marta"},{"family":"Padilla","given":"Marc"},{"family":"Gitas","given":"Ioannis"},{"family":"Heil","given":"Angelika"},{"family":"Hawbaker","given":"Todd J."},{"family":"Giglio","given":"Louis"}],"issued":{"date-parts":[["2019",5,1]]}}}],"schema":"https://github.com/citation-style-language/schema/raw/master/csl-citation.json"} </w:instrText>
      </w:r>
      <w:r>
        <w:rPr>
          <w:rFonts w:ascii="Times New Roman" w:hAnsi="Times New Roman" w:eastAsiaTheme="minorEastAsia"/>
          <w:sz w:val="24"/>
          <w:szCs w:val="24"/>
          <w:lang w:eastAsia="zh-CN"/>
        </w:rPr>
        <w:fldChar w:fldCharType="separate"/>
      </w:r>
      <w:r>
        <w:rPr>
          <w:rFonts w:ascii="Times New Roman" w:hAnsi="Times New Roman" w:eastAsiaTheme="minorEastAsia"/>
          <w:sz w:val="24"/>
        </w:rPr>
        <w:t>(Chuvieco et al., 2019)</w:t>
      </w:r>
      <w:r>
        <w:rPr>
          <w:rFonts w:ascii="Times New Roman" w:hAnsi="Times New Roman" w:eastAsiaTheme="minorEastAsia"/>
          <w:sz w:val="24"/>
          <w:szCs w:val="24"/>
          <w:lang w:eastAsia="zh-CN"/>
        </w:rPr>
        <w:fldChar w:fldCharType="end"/>
      </w:r>
      <w:r>
        <w:rPr>
          <w:rFonts w:ascii="Times New Roman" w:hAnsi="Times New Roman" w:eastAsiaTheme="minorEastAsia"/>
          <w:sz w:val="24"/>
          <w:szCs w:val="24"/>
          <w:lang w:eastAsia="zh-CN"/>
        </w:rPr>
        <w:t>. To improve the spatial accuracy of wildfire-affected area identification, this study utilized 2025 Sentinel-2 multispectral imagery with a spatial resolution of 10 m to extract the extent of the wildfire. The Normalized Burn Ratio (NBR) and the Differenced Normalized Burn Ratio (dNBR) effectively reflect changes in the spectral characteristics of vegetation before and after burning, and are important indicators for mapping wildfire-affected sites</w:t>
      </w:r>
      <w:r>
        <w:rPr>
          <w:rFonts w:ascii="Times New Roman" w:hAnsi="Times New Roman" w:eastAsiaTheme="minorEastAsia"/>
          <w:sz w:val="24"/>
          <w:szCs w:val="24"/>
          <w:lang w:eastAsia="zh-CN"/>
        </w:rPr>
        <w:fldChar w:fldCharType="begin"/>
      </w:r>
      <w:r>
        <w:rPr>
          <w:rFonts w:ascii="Times New Roman" w:hAnsi="Times New Roman" w:eastAsiaTheme="minorEastAsia"/>
          <w:sz w:val="24"/>
          <w:szCs w:val="24"/>
          <w:lang w:eastAsia="zh-CN"/>
        </w:rPr>
        <w:instrText xml:space="preserve"> ADDIN ZOTERO_ITEM CSL_CITATION {"citationID":"FUwE9bZi","properties":{"formattedCitation":"(Giglio et al., 2018; Loboda et al., 2007)","plainCitation":"(Giglio et al., 2018; Loboda et al., 2007)","noteIndex":0},"citationItems":[{"id":320,"uris":["http://zotero.org/users/17543282/items/U3H9F6WH"],"itemData":{"id":320,"type":"article-journal","abstract":"The two Moderate Resolution Imaging Spectroradiometer (MODIS) instruments on-board NASA's Terra and Aqua satellites have provided nearly two decades of global fire data. Here, we describe refinements made to the 500-m global burned area mapping algorithm that were implemented in late 2016 as part of the MODIS Collection 6 (C6) land-product reprocessing. The updated algorithm improves upon the heritage Collection 5.1 (C5.1) MCD64A1 and MCD45A1 algorithms by offering significantly better detection of small burns, a modest reduction in burn-date temporal uncertainty, and a large reduction in the extent of unmapped areas. Comparison of the C6 and C5.1 MCD64A1 products for fifteen years (2002–2016) on a regional basis shows that the C6 product detects considerably more burned area globally (26%) and in almost every region considered. The sole exception was in Boreal North America, where the mean annual area burned was 6% lower for C6, primarily as a result of a large increase in the number of small lakes mapped (and subsequently masked) at high latitudes in the upstream C6 input data. With respect to temporal reporting accuracy, 44% of the C6 MCD64A1 burned grid cells were detected on the same day as an active fire, and 68% within 2 days, which represents a substantial reduction in temporal uncertainty compared to the C5.1 MCD64A1 and MCD45A1 products. In addition, an areal accuracy assessment of the C6 burned area product undertaken using high resolution burned area reference maps derived from 108 Landsat image pairs is reported.","container-title":"Remote Sensing of Environment","DOI":"10.1016/j.rse.2018.08.005","ISSN":"0034-4257","journalAbbreviation":"Remote Sensing of Environment","page":"72-85","source":"ScienceDirect","title":"The Collection 6 MODIS burned area mapping algorithm and product","volume":"217","author":[{"family":"Giglio","given":"Louis"},{"family":"Boschetti","given":"Luigi"},{"family":"Roy","given":"David P."},{"family":"Humber","given":"Michael L."},{"family":"Justice","given":"Christopher O."}],"issued":{"date-parts":[["2018",11,1]]}},"label":"page"},{"id":319,"uris":["http://zotero.org/users/17543282/items/JYCZ9D57"],"itemData":{"id":319,"type":"article-journal","abstract":"Recent advances in instrument design have led to considerable improvements in wildfire mapping at regional and global scales. Global and regional active fire and burned area products are currently available from various satellite sensors. While only global products can provide consistent assessments of fire activity at the global, hemispherical or continental scales, the efficiency of their performance differs in various ecosystems. The available regional products are hard-coded to the specifics of a given ecosystem (e.g. boreal forest) and their mapping accuracy drops dramatically outside the intended area. We present a regionally adaptable semi-automated approach to mapping burned area using Moderate Resolution Imaging Spectroradiometer (MODIS) data. This is a flexible remote sensing/GIS-based algorithm which allows for easy modification of algorithm parameterization to adapt it to the regional specifics of fire occurrence in the biome or region of interest. The algorithm is based on Normalized Burned Ratio differencing (dNBR) and therefore retains the variability of spectral response of the area affected by fire and has the potential to be used beyond binary burned/unburned mapping for the first-order characterization of fire impacts from remotely sensed data. The algorithm inputs the MODIS Surface Reflectance 8-Day Composite product (MOD09A1) and the MODIS Active Fire product (MOD14) and outputs yearly maps of burned area with dNBR values and beginning and ending dates of mapping as the attributive information. Comparison of this product with high resolution burn scar information from Landsat ETM+ imagery and fire perimeter data shows high levels of accuracy in reporting burned area across different ecosystems. We evaluated algorithm performance in boreal forests of Central Siberia, Mediterranean-type ecosystems of California, and sagebrush steppe of the Great Basin region of the US. In each ecosystem the MODIS burned area estimates were within 15% of the estimates produced by the high resolution base with the R2 between 0.87 and 0.99. In addition, the spatial accuracy of large burn scars in the boreal forests of Central Siberia was also high with Kappa values ranging between 0.76 and 0.79.","container-title":"Remote Sensing of Environment","DOI":"10.1016/j.rse.2007.01.017","ISSN":"0034-4257","issue":"4","journalAbbreviation":"Remote Sensing of Environment","page":"429-442","source":"ScienceDirect","title":"Regionally adaptable dNBR-based algorithm for burned area mapping from MODIS data","volume":"109","author":[{"family":"Loboda","given":"T."},{"family":"O'Neal","given":"K. J."},{"family":"Csiszar","given":"I."}],"issued":{"date-parts":[["2007",8,30]]}},"label":"page"}],"schema":"https://github.com/citation-style-language/schema/raw/master/csl-citation.json"} </w:instrText>
      </w:r>
      <w:r>
        <w:rPr>
          <w:rFonts w:ascii="Times New Roman" w:hAnsi="Times New Roman" w:eastAsiaTheme="minorEastAsia"/>
          <w:sz w:val="24"/>
          <w:szCs w:val="24"/>
          <w:lang w:eastAsia="zh-CN"/>
        </w:rPr>
        <w:fldChar w:fldCharType="separate"/>
      </w:r>
      <w:r>
        <w:rPr>
          <w:rFonts w:ascii="Times New Roman" w:hAnsi="Times New Roman" w:eastAsiaTheme="minorEastAsia"/>
          <w:sz w:val="24"/>
        </w:rPr>
        <w:t>(Giglio et al., 2018; Loboda et al., 2007)</w:t>
      </w:r>
      <w:r>
        <w:rPr>
          <w:rFonts w:ascii="Times New Roman" w:hAnsi="Times New Roman" w:eastAsiaTheme="minorEastAsia"/>
          <w:sz w:val="24"/>
          <w:szCs w:val="24"/>
          <w:lang w:eastAsia="zh-CN"/>
        </w:rPr>
        <w:fldChar w:fldCharType="end"/>
      </w:r>
      <w:r>
        <w:rPr>
          <w:rFonts w:ascii="Times New Roman" w:hAnsi="Times New Roman" w:eastAsiaTheme="minorEastAsia"/>
          <w:sz w:val="24"/>
          <w:szCs w:val="24"/>
          <w:lang w:eastAsia="zh-CN"/>
        </w:rPr>
        <w:t>. Consequently, for wildfire detection, NBR and dNBR were calculated using the following formulas:</w:t>
      </w:r>
    </w:p>
    <w:p w14:paraId="0BA72C8A">
      <w:pPr>
        <w:pStyle w:val="33"/>
        <w:spacing w:line="240" w:lineRule="auto"/>
        <w:ind w:left="0" w:firstLine="0"/>
        <w:rPr>
          <w:rFonts w:ascii="Times New Roman" w:hAnsi="Times New Roman" w:eastAsiaTheme="minorEastAsia"/>
          <w:sz w:val="24"/>
          <w:szCs w:val="24"/>
          <w:lang w:eastAsia="zh-CN"/>
        </w:rPr>
      </w:pPr>
      <m:oMathPara>
        <m:oMath>
          <m:eqArr>
            <m:eqArrPr>
              <m:maxDist m:val="1"/>
              <m:ctrlPr>
                <w:rPr>
                  <w:rFonts w:ascii="Cambria Math" w:hAnsi="Cambria Math"/>
                  <w:sz w:val="24"/>
                  <w:szCs w:val="24"/>
                </w:rPr>
              </m:ctrlPr>
            </m:eqArrPr>
            <m:e>
              <m:r>
                <m:rPr>
                  <m:sty m:val="p"/>
                </m:rPr>
                <w:rPr>
                  <w:rFonts w:ascii="Cambria Math" w:hAnsi="Cambria Math"/>
                  <w:sz w:val="24"/>
                  <w:szCs w:val="24"/>
                </w:rPr>
                <m:t>NBR=</m:t>
              </m:r>
              <m:sSub>
                <m:sSubPr>
                  <m:ctrlPr>
                    <w:rPr>
                      <w:rFonts w:ascii="Cambria Math" w:hAnsi="Cambria Math"/>
                      <w:sz w:val="24"/>
                      <w:szCs w:val="24"/>
                    </w:rPr>
                  </m:ctrlPr>
                </m:sSubPr>
                <m:e>
                  <m:r>
                    <m:rPr>
                      <m:sty m:val="p"/>
                    </m:rPr>
                    <w:rPr>
                      <w:rFonts w:ascii="Cambria Math" w:hAnsi="Cambria Math"/>
                      <w:sz w:val="24"/>
                      <w:szCs w:val="24"/>
                    </w:rPr>
                    <m:t>(ρ</m:t>
                  </m:r>
                  <m:ctrlPr>
                    <w:rPr>
                      <w:rFonts w:ascii="Cambria Math" w:hAnsi="Cambria Math"/>
                      <w:sz w:val="24"/>
                      <w:szCs w:val="24"/>
                    </w:rPr>
                  </m:ctrlPr>
                </m:e>
                <m:sub>
                  <m:r>
                    <m:rPr>
                      <m:sty m:val="p"/>
                    </m:rPr>
                    <w:rPr>
                      <w:rFonts w:ascii="Cambria Math" w:hAnsi="Cambria Math"/>
                      <w:sz w:val="24"/>
                      <w:szCs w:val="24"/>
                    </w:rPr>
                    <m:t>NIR</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ρ</m:t>
                  </m:r>
                  <m:ctrlPr>
                    <w:rPr>
                      <w:rFonts w:ascii="Cambria Math" w:hAnsi="Cambria Math"/>
                      <w:sz w:val="24"/>
                      <w:szCs w:val="24"/>
                    </w:rPr>
                  </m:ctrlPr>
                </m:e>
                <m:sub>
                  <m:r>
                    <m:rPr>
                      <m:sty m:val="p"/>
                    </m:rPr>
                    <w:rPr>
                      <w:rFonts w:ascii="Cambria Math" w:hAnsi="Cambria Math"/>
                      <w:sz w:val="24"/>
                      <w:szCs w:val="24"/>
                    </w:rPr>
                    <m:t>SWIR2</m:t>
                  </m:r>
                  <m:ctrlPr>
                    <w:rPr>
                      <w:rFonts w:ascii="Cambria Math" w:hAnsi="Cambria Math"/>
                      <w:sz w:val="24"/>
                      <w:szCs w:val="24"/>
                    </w:rPr>
                  </m:ctrlPr>
                </m:sub>
              </m:sSub>
              <m:r>
                <m:rPr>
                  <m:sty m:val="p"/>
                </m:rPr>
                <w:rPr>
                  <w:rFonts w:ascii="Cambria Math" w:hAnsi="Cambria Math"/>
                  <w:sz w:val="24"/>
                  <w:szCs w:val="24"/>
                </w:rPr>
                <m:t>)</m:t>
              </m:r>
              <m:r>
                <m:rPr/>
                <w:rPr>
                  <w:rFonts w:ascii="Cambria Math" w:hAnsi="Cambria Math" w:eastAsiaTheme="minorEastAsia"/>
                  <w:sz w:val="24"/>
                  <w:szCs w:val="24"/>
                  <w:lang w:eastAsia="zh-CN"/>
                </w:rPr>
                <m:t>/</m:t>
              </m:r>
              <m:sSub>
                <m:sSubPr>
                  <m:ctrlPr>
                    <w:rPr>
                      <w:rFonts w:ascii="Cambria Math" w:hAnsi="Cambria Math"/>
                      <w:sz w:val="24"/>
                      <w:szCs w:val="24"/>
                    </w:rPr>
                  </m:ctrlPr>
                </m:sSubPr>
                <m:e>
                  <m:r>
                    <m:rPr>
                      <m:sty m:val="p"/>
                    </m:rPr>
                    <w:rPr>
                      <w:rFonts w:ascii="Cambria Math" w:hAnsi="Cambria Math"/>
                      <w:sz w:val="24"/>
                      <w:szCs w:val="24"/>
                    </w:rPr>
                    <m:t>(ρ</m:t>
                  </m:r>
                  <m:ctrlPr>
                    <w:rPr>
                      <w:rFonts w:ascii="Cambria Math" w:hAnsi="Cambria Math"/>
                      <w:sz w:val="24"/>
                      <w:szCs w:val="24"/>
                    </w:rPr>
                  </m:ctrlPr>
                </m:e>
                <m:sub>
                  <m:r>
                    <m:rPr>
                      <m:sty m:val="p"/>
                    </m:rPr>
                    <w:rPr>
                      <w:rFonts w:ascii="Cambria Math" w:hAnsi="Cambria Math"/>
                      <w:sz w:val="24"/>
                      <w:szCs w:val="24"/>
                    </w:rPr>
                    <m:t>NIR</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ρ</m:t>
                  </m:r>
                  <m:ctrlPr>
                    <w:rPr>
                      <w:rFonts w:ascii="Cambria Math" w:hAnsi="Cambria Math"/>
                      <w:sz w:val="24"/>
                      <w:szCs w:val="24"/>
                    </w:rPr>
                  </m:ctrlPr>
                </m:e>
                <m:sub>
                  <m:r>
                    <m:rPr>
                      <m:sty m:val="p"/>
                    </m:rPr>
                    <w:rPr>
                      <w:rFonts w:ascii="Cambria Math" w:hAnsi="Cambria Math"/>
                      <w:sz w:val="24"/>
                      <w:szCs w:val="24"/>
                    </w:rPr>
                    <m:t>SWIR2</m:t>
                  </m:r>
                  <m:ctrlPr>
                    <w:rPr>
                      <w:rFonts w:ascii="Cambria Math" w:hAnsi="Cambria Math"/>
                      <w:sz w:val="24"/>
                      <w:szCs w:val="24"/>
                    </w:rPr>
                  </m:ctrlPr>
                </m:sub>
              </m:sSub>
              <m:r>
                <m:rPr>
                  <m:sty m:val="p"/>
                </m:rPr>
                <w:rPr>
                  <w:rFonts w:ascii="Cambria Math" w:hAnsi="Cambria Math"/>
                  <w:sz w:val="24"/>
                  <w:szCs w:val="24"/>
                </w:rPr>
                <m:t>)#(1)</m:t>
              </m:r>
              <m:ctrlPr>
                <w:rPr>
                  <w:rFonts w:ascii="Cambria Math" w:hAnsi="Cambria Math"/>
                  <w:sz w:val="24"/>
                  <w:szCs w:val="24"/>
                </w:rPr>
              </m:ctrlPr>
            </m:e>
          </m:eqArr>
        </m:oMath>
      </m:oMathPara>
    </w:p>
    <w:p w14:paraId="08614477">
      <w:pPr>
        <w:pStyle w:val="33"/>
        <w:spacing w:line="240" w:lineRule="auto"/>
        <w:ind w:left="0" w:firstLine="0"/>
        <w:rPr>
          <w:rFonts w:ascii="Times New Roman" w:hAnsi="Times New Roman" w:eastAsiaTheme="minorEastAsia"/>
          <w:sz w:val="24"/>
          <w:szCs w:val="24"/>
          <w:lang w:eastAsia="zh-CN"/>
        </w:rPr>
      </w:pPr>
      <m:oMathPara>
        <m:oMath>
          <m:eqArr>
            <m:eqArrPr>
              <m:maxDist m:val="1"/>
              <m:ctrlPr>
                <w:rPr>
                  <w:rFonts w:ascii="Cambria Math" w:hAnsi="Cambria Math"/>
                  <w:sz w:val="24"/>
                  <w:szCs w:val="24"/>
                </w:rPr>
              </m:ctrlPr>
            </m:eqArrPr>
            <m:e>
              <m:r>
                <m:rPr>
                  <m:sty m:val="p"/>
                </m:rPr>
                <w:rPr>
                  <w:rFonts w:ascii="Cambria Math" w:hAnsi="Cambria Math"/>
                  <w:sz w:val="24"/>
                  <w:szCs w:val="24"/>
                </w:rPr>
                <m:t>dNBR=</m:t>
              </m:r>
              <m:sSub>
                <m:sSubPr>
                  <m:ctrlPr>
                    <w:rPr>
                      <w:rFonts w:ascii="Cambria Math" w:hAnsi="Cambria Math"/>
                      <w:sz w:val="24"/>
                      <w:szCs w:val="24"/>
                    </w:rPr>
                  </m:ctrlPr>
                </m:sSubPr>
                <m:e>
                  <m:r>
                    <m:rPr>
                      <m:sty m:val="p"/>
                    </m:rPr>
                    <w:rPr>
                      <w:rFonts w:ascii="Cambria Math" w:hAnsi="Cambria Math"/>
                      <w:sz w:val="24"/>
                      <w:szCs w:val="24"/>
                    </w:rPr>
                    <m:t>NBR</m:t>
                  </m:r>
                  <m:ctrlPr>
                    <w:rPr>
                      <w:rFonts w:ascii="Cambria Math" w:hAnsi="Cambria Math"/>
                      <w:sz w:val="24"/>
                      <w:szCs w:val="24"/>
                    </w:rPr>
                  </m:ctrlPr>
                </m:e>
                <m:sub>
                  <m:r>
                    <m:rPr>
                      <m:sty m:val="p"/>
                    </m:rPr>
                    <w:rPr>
                      <w:rFonts w:ascii="Cambria Math" w:hAnsi="Cambria Math"/>
                      <w:sz w:val="24"/>
                      <w:szCs w:val="24"/>
                    </w:rPr>
                    <m:t>preFire</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NBR</m:t>
                  </m:r>
                  <m:ctrlPr>
                    <w:rPr>
                      <w:rFonts w:ascii="Cambria Math" w:hAnsi="Cambria Math"/>
                      <w:sz w:val="24"/>
                      <w:szCs w:val="24"/>
                    </w:rPr>
                  </m:ctrlPr>
                </m:e>
                <m:sub>
                  <m:r>
                    <m:rPr>
                      <m:sty m:val="p"/>
                    </m:rPr>
                    <w:rPr>
                      <w:rFonts w:ascii="Cambria Math" w:hAnsi="Cambria Math"/>
                      <w:sz w:val="24"/>
                      <w:szCs w:val="24"/>
                    </w:rPr>
                    <m:t>postFire</m:t>
                  </m:r>
                  <m:ctrlPr>
                    <w:rPr>
                      <w:rFonts w:ascii="Cambria Math" w:hAnsi="Cambria Math"/>
                      <w:sz w:val="24"/>
                      <w:szCs w:val="24"/>
                    </w:rPr>
                  </m:ctrlPr>
                </m:sub>
              </m:sSub>
              <m:r>
                <m:rPr>
                  <m:sty m:val="p"/>
                </m:rPr>
                <w:rPr>
                  <w:rFonts w:ascii="Cambria Math" w:hAnsi="Cambria Math"/>
                  <w:sz w:val="24"/>
                  <w:szCs w:val="24"/>
                </w:rPr>
                <m:t>#(2)</m:t>
              </m:r>
              <m:ctrlPr>
                <w:rPr>
                  <w:rFonts w:ascii="Cambria Math" w:hAnsi="Cambria Math"/>
                  <w:sz w:val="24"/>
                  <w:szCs w:val="24"/>
                </w:rPr>
              </m:ctrlPr>
            </m:e>
          </m:eqArr>
        </m:oMath>
      </m:oMathPara>
    </w:p>
    <w:p w14:paraId="5AB4955F">
      <w:pPr>
        <w:pStyle w:val="33"/>
        <w:spacing w:line="240" w:lineRule="auto"/>
        <w:ind w:left="0" w:firstLine="0"/>
        <w:rPr>
          <w:rFonts w:ascii="Times New Roman" w:hAnsi="Times New Roman" w:eastAsiaTheme="minorEastAsia"/>
          <w:sz w:val="24"/>
          <w:szCs w:val="24"/>
          <w:lang w:eastAsia="zh-CN"/>
        </w:rPr>
      </w:pPr>
      <w:r>
        <w:rPr>
          <w:rFonts w:ascii="Times New Roman" w:hAnsi="Times New Roman" w:eastAsiaTheme="minorEastAsia"/>
          <w:sz w:val="24"/>
          <w:szCs w:val="24"/>
          <w:lang w:eastAsia="zh-CN"/>
        </w:rPr>
        <w:t xml:space="preserve">where </w:t>
      </w:r>
      <m:oMath>
        <m:sSub>
          <m:sSubPr>
            <m:ctrlPr>
              <w:rPr>
                <w:rFonts w:ascii="Cambria Math" w:hAnsi="Cambria Math"/>
                <w:sz w:val="24"/>
                <w:szCs w:val="24"/>
              </w:rPr>
            </m:ctrlPr>
          </m:sSubPr>
          <m:e>
            <m:r>
              <m:rPr>
                <m:sty m:val="p"/>
              </m:rPr>
              <w:rPr>
                <w:rFonts w:ascii="Cambria Math" w:hAnsi="Cambria Math"/>
                <w:sz w:val="24"/>
                <w:szCs w:val="24"/>
              </w:rPr>
              <m:t>ρ</m:t>
            </m:r>
            <m:ctrlPr>
              <w:rPr>
                <w:rFonts w:ascii="Cambria Math" w:hAnsi="Cambria Math"/>
                <w:sz w:val="24"/>
                <w:szCs w:val="24"/>
              </w:rPr>
            </m:ctrlPr>
          </m:e>
          <m:sub>
            <m:r>
              <m:rPr>
                <m:sty m:val="p"/>
              </m:rPr>
              <w:rPr>
                <w:rFonts w:ascii="Cambria Math" w:hAnsi="Cambria Math"/>
                <w:sz w:val="24"/>
                <w:szCs w:val="24"/>
              </w:rPr>
              <m:t>NIR</m:t>
            </m:r>
            <m:ctrlPr>
              <w:rPr>
                <w:rFonts w:ascii="Cambria Math" w:hAnsi="Cambria Math"/>
                <w:sz w:val="24"/>
                <w:szCs w:val="24"/>
              </w:rPr>
            </m:ctrlPr>
          </m:sub>
        </m:sSub>
      </m:oMath>
      <w:r>
        <w:rPr>
          <w:rFonts w:ascii="Times New Roman" w:hAnsi="Times New Roman" w:eastAsiaTheme="minorEastAsia"/>
          <w:sz w:val="24"/>
          <w:szCs w:val="24"/>
          <w:lang w:eastAsia="zh-CN"/>
        </w:rPr>
        <w:t xml:space="preserve"> and </w:t>
      </w:r>
      <m:oMath>
        <m:sSub>
          <m:sSubPr>
            <m:ctrlPr>
              <w:rPr>
                <w:rFonts w:ascii="Cambria Math" w:hAnsi="Cambria Math"/>
                <w:sz w:val="24"/>
                <w:szCs w:val="24"/>
              </w:rPr>
            </m:ctrlPr>
          </m:sSubPr>
          <m:e>
            <m:r>
              <m:rPr>
                <m:sty m:val="p"/>
              </m:rPr>
              <w:rPr>
                <w:rFonts w:ascii="Cambria Math" w:hAnsi="Cambria Math"/>
                <w:sz w:val="24"/>
                <w:szCs w:val="24"/>
              </w:rPr>
              <m:t>ρ</m:t>
            </m:r>
            <m:ctrlPr>
              <w:rPr>
                <w:rFonts w:ascii="Cambria Math" w:hAnsi="Cambria Math"/>
                <w:sz w:val="24"/>
                <w:szCs w:val="24"/>
              </w:rPr>
            </m:ctrlPr>
          </m:e>
          <m:sub>
            <m:r>
              <m:rPr>
                <m:sty m:val="p"/>
              </m:rPr>
              <w:rPr>
                <w:rFonts w:ascii="Cambria Math" w:hAnsi="Cambria Math"/>
                <w:sz w:val="24"/>
                <w:szCs w:val="24"/>
              </w:rPr>
              <m:t>SWIR2</m:t>
            </m:r>
            <m:ctrlPr>
              <w:rPr>
                <w:rFonts w:ascii="Cambria Math" w:hAnsi="Cambria Math"/>
                <w:sz w:val="24"/>
                <w:szCs w:val="24"/>
              </w:rPr>
            </m:ctrlPr>
          </m:sub>
        </m:sSub>
      </m:oMath>
      <w:r>
        <w:rPr>
          <w:rFonts w:ascii="Times New Roman" w:hAnsi="Times New Roman" w:eastAsiaTheme="minorEastAsia"/>
          <w:sz w:val="24"/>
          <w:szCs w:val="24"/>
          <w:lang w:eastAsia="zh-CN"/>
        </w:rPr>
        <w:t xml:space="preserve"> denote the surface reflectance in the near-infrared and shortwave infrared bands, respectively. In addition, to reduce interference from water in the identification of burned areas, this study further computed the Normalized Difference Water Index (NDWI) as follows:</w:t>
      </w:r>
    </w:p>
    <w:p w14:paraId="3988B4C2">
      <w:pPr>
        <w:pStyle w:val="33"/>
        <w:spacing w:line="240" w:lineRule="auto"/>
        <w:ind w:left="0" w:firstLine="0"/>
        <w:rPr>
          <w:rFonts w:ascii="Times New Roman" w:hAnsi="Times New Roman" w:eastAsiaTheme="minorEastAsia"/>
          <w:sz w:val="24"/>
          <w:szCs w:val="24"/>
          <w:lang w:eastAsia="zh-CN"/>
        </w:rPr>
      </w:pPr>
      <m:oMathPara>
        <m:oMath>
          <m:eqArr>
            <m:eqArrPr>
              <m:maxDist m:val="1"/>
              <m:ctrlPr>
                <w:rPr>
                  <w:rFonts w:ascii="Cambria Math" w:hAnsi="Cambria Math"/>
                  <w:sz w:val="24"/>
                  <w:szCs w:val="24"/>
                </w:rPr>
              </m:ctrlPr>
            </m:eqArrPr>
            <m:e>
              <m:r>
                <m:rPr>
                  <m:sty m:val="p"/>
                </m:rPr>
                <w:rPr>
                  <w:rFonts w:ascii="Cambria Math" w:hAnsi="Cambria Math"/>
                  <w:sz w:val="24"/>
                  <w:szCs w:val="24"/>
                </w:rPr>
                <m:t>NDWI=(</m:t>
              </m:r>
              <m:sSub>
                <m:sSubPr>
                  <m:ctrlPr>
                    <w:rPr>
                      <w:rFonts w:ascii="Cambria Math" w:hAnsi="Cambria Math"/>
                      <w:sz w:val="24"/>
                      <w:szCs w:val="24"/>
                    </w:rPr>
                  </m:ctrlPr>
                </m:sSubPr>
                <m:e>
                  <m:r>
                    <m:rPr>
                      <m:sty m:val="p"/>
                    </m:rPr>
                    <w:rPr>
                      <w:rFonts w:ascii="Cambria Math" w:hAnsi="Cambria Math"/>
                      <w:sz w:val="24"/>
                      <w:szCs w:val="24"/>
                    </w:rPr>
                    <m:t>ρ</m:t>
                  </m:r>
                  <m:ctrlPr>
                    <w:rPr>
                      <w:rFonts w:ascii="Cambria Math" w:hAnsi="Cambria Math"/>
                      <w:sz w:val="24"/>
                      <w:szCs w:val="24"/>
                    </w:rPr>
                  </m:ctrlPr>
                </m:e>
                <m:sub>
                  <m:r>
                    <m:rPr>
                      <m:sty m:val="p"/>
                    </m:rPr>
                    <w:rPr>
                      <w:rFonts w:ascii="Cambria Math" w:hAnsi="Cambria Math"/>
                      <w:sz w:val="24"/>
                      <w:szCs w:val="24"/>
                    </w:rPr>
                    <m:t>Green</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ρ</m:t>
                  </m:r>
                  <m:ctrlPr>
                    <w:rPr>
                      <w:rFonts w:ascii="Cambria Math" w:hAnsi="Cambria Math"/>
                      <w:sz w:val="24"/>
                      <w:szCs w:val="24"/>
                    </w:rPr>
                  </m:ctrlPr>
                </m:e>
                <m:sub>
                  <m:r>
                    <m:rPr>
                      <m:sty m:val="p"/>
                    </m:rPr>
                    <w:rPr>
                      <w:rFonts w:ascii="Cambria Math" w:hAnsi="Cambria Math"/>
                      <w:sz w:val="24"/>
                      <w:szCs w:val="24"/>
                    </w:rPr>
                    <m:t>NIR</m:t>
                  </m:r>
                  <m:ctrlPr>
                    <w:rPr>
                      <w:rFonts w:ascii="Cambria Math" w:hAnsi="Cambria Math"/>
                      <w:sz w:val="24"/>
                      <w:szCs w:val="24"/>
                    </w:rPr>
                  </m:ctrlPr>
                </m:sub>
              </m:sSub>
              <m:r>
                <m:rPr>
                  <m:sty m:val="p"/>
                </m:rPr>
                <w:rPr>
                  <w:rFonts w:ascii="Cambria Math" w:hAnsi="Cambria Math"/>
                  <w:sz w:val="24"/>
                  <w:szCs w:val="24"/>
                </w:rPr>
                <m:t>)</m:t>
              </m:r>
              <m:r>
                <m:rPr/>
                <w:rPr>
                  <w:rFonts w:ascii="Cambria Math" w:hAnsi="Cambria Math" w:eastAsiaTheme="minorEastAsia"/>
                  <w:sz w:val="24"/>
                  <w:szCs w:val="24"/>
                  <w:lang w:eastAsia="zh-CN"/>
                </w:rPr>
                <m:t>/(</m:t>
              </m:r>
              <m:sSub>
                <m:sSubPr>
                  <m:ctrlPr>
                    <w:rPr>
                      <w:rFonts w:ascii="Cambria Math" w:hAnsi="Cambria Math"/>
                      <w:sz w:val="24"/>
                      <w:szCs w:val="24"/>
                    </w:rPr>
                  </m:ctrlPr>
                </m:sSubPr>
                <m:e>
                  <m:r>
                    <m:rPr>
                      <m:sty m:val="p"/>
                    </m:rPr>
                    <w:rPr>
                      <w:rFonts w:ascii="Cambria Math" w:hAnsi="Cambria Math"/>
                      <w:sz w:val="24"/>
                      <w:szCs w:val="24"/>
                    </w:rPr>
                    <m:t>ρ</m:t>
                  </m:r>
                  <m:ctrlPr>
                    <w:rPr>
                      <w:rFonts w:ascii="Cambria Math" w:hAnsi="Cambria Math"/>
                      <w:sz w:val="24"/>
                      <w:szCs w:val="24"/>
                    </w:rPr>
                  </m:ctrlPr>
                </m:e>
                <m:sub>
                  <m:r>
                    <m:rPr>
                      <m:sty m:val="p"/>
                    </m:rPr>
                    <w:rPr>
                      <w:rFonts w:ascii="Cambria Math" w:hAnsi="Cambria Math"/>
                      <w:sz w:val="24"/>
                      <w:szCs w:val="24"/>
                    </w:rPr>
                    <m:t>Green</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ρ</m:t>
                  </m:r>
                  <m:ctrlPr>
                    <w:rPr>
                      <w:rFonts w:ascii="Cambria Math" w:hAnsi="Cambria Math"/>
                      <w:sz w:val="24"/>
                      <w:szCs w:val="24"/>
                    </w:rPr>
                  </m:ctrlPr>
                </m:e>
                <m:sub>
                  <m:r>
                    <m:rPr>
                      <m:sty m:val="p"/>
                    </m:rPr>
                    <w:rPr>
                      <w:rFonts w:ascii="Cambria Math" w:hAnsi="Cambria Math"/>
                      <w:sz w:val="24"/>
                      <w:szCs w:val="24"/>
                    </w:rPr>
                    <m:t>NIR</m:t>
                  </m:r>
                  <m:ctrlPr>
                    <w:rPr>
                      <w:rFonts w:ascii="Cambria Math" w:hAnsi="Cambria Math"/>
                      <w:sz w:val="24"/>
                      <w:szCs w:val="24"/>
                    </w:rPr>
                  </m:ctrlPr>
                </m:sub>
              </m:sSub>
              <m:r>
                <m:rPr>
                  <m:sty m:val="p"/>
                </m:rPr>
                <w:rPr>
                  <w:rFonts w:ascii="Cambria Math" w:hAnsi="Cambria Math"/>
                  <w:sz w:val="24"/>
                  <w:szCs w:val="24"/>
                </w:rPr>
                <m:t>)#(3)</m:t>
              </m:r>
              <m:ctrlPr>
                <w:rPr>
                  <w:rFonts w:ascii="Cambria Math" w:hAnsi="Cambria Math"/>
                  <w:sz w:val="24"/>
                  <w:szCs w:val="24"/>
                </w:rPr>
              </m:ctrlPr>
            </m:e>
          </m:eqArr>
        </m:oMath>
      </m:oMathPara>
    </w:p>
    <w:p w14:paraId="45B72A63">
      <w:pPr>
        <w:pStyle w:val="33"/>
        <w:spacing w:line="240" w:lineRule="auto"/>
        <w:ind w:left="0" w:firstLine="0"/>
        <w:rPr>
          <w:rFonts w:ascii="Times New Roman" w:hAnsi="Times New Roman" w:eastAsiaTheme="minorEastAsia"/>
          <w:sz w:val="24"/>
          <w:szCs w:val="24"/>
          <w:lang w:eastAsia="zh-CN"/>
        </w:rPr>
      </w:pPr>
      <w:r>
        <w:rPr>
          <w:rFonts w:ascii="Times New Roman" w:hAnsi="Times New Roman" w:eastAsiaTheme="minorEastAsia"/>
          <w:sz w:val="24"/>
          <w:szCs w:val="24"/>
          <w:lang w:eastAsia="zh-CN"/>
        </w:rPr>
        <w:t xml:space="preserve">where </w:t>
      </w:r>
      <m:oMath>
        <m:sSub>
          <m:sSubPr>
            <m:ctrlPr>
              <w:rPr>
                <w:rFonts w:ascii="Cambria Math" w:hAnsi="Cambria Math"/>
                <w:sz w:val="24"/>
                <w:szCs w:val="24"/>
              </w:rPr>
            </m:ctrlPr>
          </m:sSubPr>
          <m:e>
            <m:r>
              <m:rPr>
                <m:sty m:val="p"/>
              </m:rPr>
              <w:rPr>
                <w:rFonts w:ascii="Cambria Math" w:hAnsi="Cambria Math"/>
                <w:sz w:val="24"/>
                <w:szCs w:val="24"/>
              </w:rPr>
              <m:t>ρ</m:t>
            </m:r>
            <m:ctrlPr>
              <w:rPr>
                <w:rFonts w:ascii="Cambria Math" w:hAnsi="Cambria Math"/>
                <w:sz w:val="24"/>
                <w:szCs w:val="24"/>
              </w:rPr>
            </m:ctrlPr>
          </m:e>
          <m:sub>
            <m:r>
              <m:rPr>
                <m:sty m:val="p"/>
              </m:rPr>
              <w:rPr>
                <w:rFonts w:ascii="Cambria Math" w:hAnsi="Cambria Math"/>
                <w:sz w:val="24"/>
                <w:szCs w:val="24"/>
              </w:rPr>
              <m:t>Green</m:t>
            </m:r>
            <m:ctrlPr>
              <w:rPr>
                <w:rFonts w:ascii="Cambria Math" w:hAnsi="Cambria Math"/>
                <w:sz w:val="24"/>
                <w:szCs w:val="24"/>
              </w:rPr>
            </m:ctrlPr>
          </m:sub>
        </m:sSub>
      </m:oMath>
      <w:r>
        <w:rPr>
          <w:rFonts w:ascii="Times New Roman" w:hAnsi="Times New Roman" w:eastAsiaTheme="minorEastAsia"/>
          <w:sz w:val="24"/>
          <w:szCs w:val="24"/>
          <w:lang w:eastAsia="zh-CN"/>
        </w:rPr>
        <w:t xml:space="preserve"> and </w:t>
      </w:r>
      <m:oMath>
        <m:sSub>
          <m:sSubPr>
            <m:ctrlPr>
              <w:rPr>
                <w:rFonts w:ascii="Cambria Math" w:hAnsi="Cambria Math"/>
                <w:sz w:val="24"/>
                <w:szCs w:val="24"/>
              </w:rPr>
            </m:ctrlPr>
          </m:sSubPr>
          <m:e>
            <m:r>
              <m:rPr>
                <m:sty m:val="p"/>
              </m:rPr>
              <w:rPr>
                <w:rFonts w:ascii="Cambria Math" w:hAnsi="Cambria Math"/>
                <w:sz w:val="24"/>
                <w:szCs w:val="24"/>
              </w:rPr>
              <m:t>ρ</m:t>
            </m:r>
            <m:ctrlPr>
              <w:rPr>
                <w:rFonts w:ascii="Cambria Math" w:hAnsi="Cambria Math"/>
                <w:sz w:val="24"/>
                <w:szCs w:val="24"/>
              </w:rPr>
            </m:ctrlPr>
          </m:e>
          <m:sub>
            <m:r>
              <m:rPr>
                <m:sty m:val="p"/>
              </m:rPr>
              <w:rPr>
                <w:rFonts w:ascii="Cambria Math" w:hAnsi="Cambria Math"/>
                <w:sz w:val="24"/>
                <w:szCs w:val="24"/>
              </w:rPr>
              <m:t>NIR</m:t>
            </m:r>
            <m:ctrlPr>
              <w:rPr>
                <w:rFonts w:ascii="Cambria Math" w:hAnsi="Cambria Math"/>
                <w:sz w:val="24"/>
                <w:szCs w:val="24"/>
              </w:rPr>
            </m:ctrlPr>
          </m:sub>
        </m:sSub>
      </m:oMath>
      <w:r>
        <w:rPr>
          <w:rFonts w:ascii="Times New Roman" w:hAnsi="Times New Roman" w:eastAsiaTheme="minorEastAsia"/>
          <w:sz w:val="24"/>
          <w:szCs w:val="24"/>
          <w:lang w:eastAsia="zh-CN"/>
        </w:rPr>
        <w:t xml:space="preserve"> denote the surface reflectance in the green and near-infrared bands, respectively.</w:t>
      </w:r>
    </w:p>
    <w:p w14:paraId="2423370B">
      <w:pPr>
        <w:pStyle w:val="33"/>
        <w:spacing w:line="240" w:lineRule="auto"/>
        <w:ind w:left="0" w:firstLine="0"/>
        <w:rPr>
          <w:rFonts w:ascii="Times New Roman" w:hAnsi="Times New Roman" w:eastAsiaTheme="minorEastAsia"/>
          <w:sz w:val="24"/>
          <w:szCs w:val="24"/>
          <w:lang w:eastAsia="zh-CN"/>
        </w:rPr>
      </w:pPr>
      <w:r>
        <w:rPr>
          <w:rFonts w:ascii="Times New Roman" w:hAnsi="Times New Roman" w:eastAsiaTheme="minorEastAsia"/>
          <w:sz w:val="24"/>
          <w:szCs w:val="24"/>
          <w:lang w:eastAsia="zh-CN"/>
        </w:rPr>
        <w:t xml:space="preserve">In the preliminary identification of burned areas, a threshold-based classification was used to screen potential burned pixels. Pixels were classified as potential burned when they simultaneously satisfied </w:t>
      </w:r>
      <m:oMath>
        <m:sSub>
          <m:sSubPr>
            <m:ctrlPr>
              <w:rPr>
                <w:rFonts w:ascii="Cambria Math" w:hAnsi="Cambria Math"/>
                <w:sz w:val="24"/>
                <w:szCs w:val="24"/>
              </w:rPr>
            </m:ctrlPr>
          </m:sSubPr>
          <m:e>
            <m:r>
              <m:rPr>
                <m:sty m:val="p"/>
              </m:rPr>
              <w:rPr>
                <w:rFonts w:ascii="Cambria Math" w:hAnsi="Cambria Math"/>
                <w:sz w:val="24"/>
                <w:szCs w:val="24"/>
              </w:rPr>
              <m:t>NBR</m:t>
            </m:r>
            <m:ctrlPr>
              <w:rPr>
                <w:rFonts w:ascii="Cambria Math" w:hAnsi="Cambria Math"/>
                <w:sz w:val="24"/>
                <w:szCs w:val="24"/>
              </w:rPr>
            </m:ctrlPr>
          </m:e>
          <m:sub>
            <m:r>
              <m:rPr>
                <m:sty m:val="p"/>
              </m:rPr>
              <w:rPr>
                <w:rFonts w:ascii="Cambria Math" w:hAnsi="Cambria Math"/>
                <w:sz w:val="24"/>
                <w:szCs w:val="24"/>
              </w:rPr>
              <m:t>preFire</m:t>
            </m:r>
            <m:ctrlPr>
              <w:rPr>
                <w:rFonts w:ascii="Cambria Math" w:hAnsi="Cambria Math"/>
                <w:sz w:val="24"/>
                <w:szCs w:val="24"/>
              </w:rPr>
            </m:ctrlPr>
          </m:sub>
        </m:sSub>
        <m:r>
          <m:rPr>
            <m:sty m:val="p"/>
          </m:rPr>
          <w:rPr>
            <w:rFonts w:ascii="Cambria Math" w:hAnsi="Cambria Math"/>
            <w:sz w:val="24"/>
            <w:szCs w:val="24"/>
          </w:rPr>
          <m:t>&gt;0</m:t>
        </m:r>
      </m:oMath>
      <w:r>
        <w:rPr>
          <w:rFonts w:ascii="Times New Roman" w:hAnsi="Times New Roman" w:eastAsiaTheme="minorEastAsia"/>
          <w:sz w:val="24"/>
          <w:szCs w:val="24"/>
          <w:lang w:eastAsia="zh-CN"/>
        </w:rPr>
        <w:t xml:space="preserve">, </w:t>
      </w:r>
      <m:oMath>
        <m:sSub>
          <m:sSubPr>
            <m:ctrlPr>
              <w:rPr>
                <w:rFonts w:ascii="Cambria Math" w:hAnsi="Cambria Math"/>
                <w:sz w:val="24"/>
                <w:szCs w:val="24"/>
              </w:rPr>
            </m:ctrlPr>
          </m:sSubPr>
          <m:e>
            <m:r>
              <m:rPr>
                <m:sty m:val="p"/>
              </m:rPr>
              <w:rPr>
                <w:rFonts w:ascii="Cambria Math" w:hAnsi="Cambria Math"/>
                <w:sz w:val="24"/>
                <w:szCs w:val="24"/>
              </w:rPr>
              <m:t>NBR</m:t>
            </m:r>
            <m:ctrlPr>
              <w:rPr>
                <w:rFonts w:ascii="Cambria Math" w:hAnsi="Cambria Math"/>
                <w:sz w:val="24"/>
                <w:szCs w:val="24"/>
              </w:rPr>
            </m:ctrlPr>
          </m:e>
          <m:sub>
            <m:r>
              <m:rPr>
                <m:sty m:val="p"/>
              </m:rPr>
              <w:rPr>
                <w:rFonts w:ascii="Cambria Math" w:hAnsi="Cambria Math"/>
                <w:sz w:val="24"/>
                <w:szCs w:val="24"/>
              </w:rPr>
              <m:t>postFire</m:t>
            </m:r>
            <m:ctrlPr>
              <w:rPr>
                <w:rFonts w:ascii="Cambria Math" w:hAnsi="Cambria Math"/>
                <w:sz w:val="24"/>
                <w:szCs w:val="24"/>
              </w:rPr>
            </m:ctrlPr>
          </m:sub>
        </m:sSub>
        <m:r>
          <m:rPr>
            <m:sty m:val="p"/>
          </m:rPr>
          <w:rPr>
            <w:rFonts w:ascii="Cambria Math" w:hAnsi="Cambria Math"/>
            <w:sz w:val="24"/>
            <w:szCs w:val="24"/>
          </w:rPr>
          <m:t>&lt;0</m:t>
        </m:r>
      </m:oMath>
      <w:r>
        <w:rPr>
          <w:rFonts w:ascii="Times New Roman" w:hAnsi="Times New Roman" w:eastAsiaTheme="minorEastAsia"/>
          <w:sz w:val="24"/>
          <w:szCs w:val="24"/>
          <w:lang w:eastAsia="zh-CN"/>
        </w:rPr>
        <w:t xml:space="preserve">, </w:t>
      </w:r>
      <m:oMath>
        <m:r>
          <m:rPr>
            <m:sty m:val="p"/>
          </m:rPr>
          <w:rPr>
            <w:rFonts w:ascii="Cambria Math" w:hAnsi="Cambria Math"/>
            <w:sz w:val="24"/>
            <w:szCs w:val="24"/>
          </w:rPr>
          <m:t>dNBR&gt;0.25</m:t>
        </m:r>
      </m:oMath>
      <w:r>
        <w:rPr>
          <w:rFonts w:ascii="Times New Roman" w:hAnsi="Times New Roman" w:eastAsiaTheme="minorEastAsia"/>
          <w:sz w:val="24"/>
          <w:szCs w:val="24"/>
          <w:lang w:eastAsia="zh-CN"/>
        </w:rPr>
        <w:t xml:space="preserve">, and </w:t>
      </w:r>
      <m:oMath>
        <m:r>
          <m:rPr>
            <m:sty m:val="p"/>
          </m:rPr>
          <w:rPr>
            <w:rFonts w:ascii="Cambria Math" w:hAnsi="Cambria Math"/>
            <w:sz w:val="24"/>
            <w:szCs w:val="24"/>
          </w:rPr>
          <m:t>NDWI&lt;0.3</m:t>
        </m:r>
      </m:oMath>
      <w:r>
        <w:rPr>
          <w:rFonts w:ascii="Times New Roman" w:hAnsi="Times New Roman" w:eastAsiaTheme="minorEastAsia"/>
          <w:sz w:val="24"/>
          <w:szCs w:val="24"/>
          <w:lang w:eastAsia="zh-CN"/>
        </w:rPr>
        <w:t>. Burned samples were then extracted from contiguous 32 × 32–pixel image patches in which all pixels were identified as burned, yielding 1,229 positive samples. An equal number of negative samples were randomly selected from unburned areas to construct the training dataset.</w:t>
      </w:r>
    </w:p>
    <w:p w14:paraId="039A636A">
      <w:pPr>
        <w:pStyle w:val="33"/>
        <w:spacing w:line="240" w:lineRule="auto"/>
        <w:ind w:left="0" w:firstLine="0"/>
        <w:rPr>
          <w:rFonts w:ascii="Times New Roman" w:hAnsi="Times New Roman" w:eastAsiaTheme="minorEastAsia"/>
          <w:sz w:val="24"/>
          <w:szCs w:val="24"/>
          <w:lang w:eastAsia="zh-CN"/>
        </w:rPr>
      </w:pPr>
      <w:r>
        <w:rPr>
          <w:rFonts w:ascii="Times New Roman" w:hAnsi="Times New Roman" w:eastAsiaTheme="minorEastAsia"/>
          <w:sz w:val="24"/>
          <w:szCs w:val="24"/>
          <w:lang w:eastAsia="zh-CN"/>
        </w:rPr>
        <w:t>Based on the above dataset, this study constructed and trained a convolutional neural network model (U-Net) to learn the spatial distribution characteristics of wildfires</w:t>
      </w:r>
      <w:r>
        <w:rPr>
          <w:rFonts w:ascii="Times New Roman" w:hAnsi="Times New Roman" w:eastAsiaTheme="minorEastAsia"/>
          <w:sz w:val="24"/>
          <w:szCs w:val="24"/>
          <w:lang w:eastAsia="zh-CN"/>
        </w:rPr>
        <w:fldChar w:fldCharType="begin"/>
      </w:r>
      <w:r>
        <w:rPr>
          <w:rFonts w:ascii="Times New Roman" w:hAnsi="Times New Roman" w:eastAsiaTheme="minorEastAsia"/>
          <w:sz w:val="24"/>
          <w:szCs w:val="24"/>
          <w:lang w:eastAsia="zh-CN"/>
        </w:rPr>
        <w:instrText xml:space="preserve"> ADDIN ZOTERO_ITEM CSL_CITATION {"citationID":"zD6OfaDQ","properties":{"formattedCitation":"(Rana et al., 2026; Ronneberger et al., 2015)","plainCitation":"(Rana et al., 2026; Ronneberger et al., 2015)","noteIndex":0},"citationItems":[{"id":358,"uris":["http://zotero.org/users/17543282/items/TBLIJF77"],"itemData":{"id":358,"type":"article-journal","abstract":"Frequent and severe wildfires driven by climate change intensify the need for accurate burned area (BA) mapping, which can be effectively addressed using Synthetic Aperture Radar (SAR) due to its cloud-penetration capability and sensitivity to vegetation and moisture changes. However, BA mapping based on SAR-only approaches relies on U-Net with ResNet50 backbone or fully convolutional neural network, while the potential of advanced architectural components remains underexplored. Moreover, prior research primarily emphasizes log-ratio features, with limited focus on standalone capacity of dual polarized vegetation indices (VIs). This study addresses these gaps by evaluating the performance of five U-Net variants (U-Net, Attention U-Net, Residual Attention U-Net, U-Net++, and U-Net 3 +) using four input schemes: log-ratio, log-ratio without cross-ratio, VIs, and a combined feature set of all. Three combinations of loss function such as binary cross entropy (BCE), dice, and focal are also applied to the best model of all scheme. Experimental results show that U-Net++ with log-ratio inputs under BCE loss function achieves the highest performance, yielding an F1 score of 0.8218 and an Intersection of Union (IoU) of 0.6795. Further analysis reveals that VIs alone can effectively delineate burned areas (F1: 0.8244; IoU: 0.7013) with focal loss, and combining them with log-ratio features delivers the best performance (F1: 0.8364; IoU: 0.7188), when dice and focal loss functions are applied. Overall, this study offers a quantitative evaluation of how dual-polarized VIs and deep learning architectures affect SAR-based BA mapping performance and suggests promising directions for future enhancement through advanced feature extraction techniques.","container-title":"International Journal of Applied Earth Observation and Geoinformation","DOI":"10.1016/j.jag.2026.105141","ISSN":"1569-8432","journalAbbreviation":"International Journal of Applied Earth Observation and Geoinformation","page":"105141","source":"ScienceDirect","title":"Exploring the impacts of dual-polarized vegetation indices and U-shaped deep learning architectures on SAR-based burned area mapping","volume":"146","author":[{"family":"Rana","given":"S. M. Sohel"},{"family":"Lee","given":"Jaese"},{"family":"Kang","given":"Yoojin"},{"family":"Im","given":"Jungho"}],"issued":{"date-parts":[["2026",2,1]]}},"label":"page"},{"id":359,"uris":["http://zotero.org/users/17543282/items/378XCVCS"],"itemData":{"id":359,"type":"paper-conference","abstract":"There is large consent that successful training of deep networks requires many thousand annotated training samples. In this paper, we present a network and training strategy that relies on the strong use of data augmentation to use the available annotated samples more efficiently. The architecture consists of a contracting path to capture context and a symmetric expanding path that enables precise localization. We show that such a network can be trained end-to-end from very few images and outperforms the prior best method (a sliding-window convolutional network) on the ISBI challenge for segmentation of neuronal structures in electron microscopic stacks. Using the same network trained on transmitted light microscopy images (phase contrast and DIC) we won the ISBI cell tracking challenge 2015 in these categories by a large margin. Moreover, the network is fast. Segmentation of a 512x512 image takes less than a second on a recent GPU. The full implementation (based on Caffe) and the trained networks are available at http://lmb.informatik.uni-freiburg.de/people/ronneber/u-net.","container-title":"Medical Image Computing and Computer-Assisted Intervention – MICCAI 2015","DOI":"10.1007/978-3-319-24574-4_28","ISBN":"978-3-319-24574-4","language":"en","page":"234-241","publisher":"Springer International Publishing","publisher-place":"Cham","source":"Springer Link","title":"U-Net: Convolutional Networks for Biomedical Image Segmentation","title-short":"U-Net","author":[{"family":"Ronneberger","given":"Olaf"},{"family":"Fischer","given":"Philipp"},{"family":"Brox","given":"Thomas"}],"editor":[{"family":"Navab","given":"Nassir"},{"family":"Hornegger","given":"Joachim"},{"family":"Wells","given":"William M."},{"family":"Frangi","given":"Alejandro F."}],"issued":{"date-parts":[["2015"]]}},"label":"page"}],"schema":"https://github.com/citation-style-language/schema/raw/master/csl-citation.json"} </w:instrText>
      </w:r>
      <w:r>
        <w:rPr>
          <w:rFonts w:ascii="Times New Roman" w:hAnsi="Times New Roman" w:eastAsiaTheme="minorEastAsia"/>
          <w:sz w:val="24"/>
          <w:szCs w:val="24"/>
          <w:lang w:eastAsia="zh-CN"/>
        </w:rPr>
        <w:fldChar w:fldCharType="separate"/>
      </w:r>
      <w:r>
        <w:rPr>
          <w:rFonts w:ascii="Times New Roman" w:hAnsi="Times New Roman" w:eastAsiaTheme="minorEastAsia"/>
          <w:sz w:val="24"/>
        </w:rPr>
        <w:t>(Rana et al., 2026; Ronneberger et al., 2015)</w:t>
      </w:r>
      <w:r>
        <w:rPr>
          <w:rFonts w:ascii="Times New Roman" w:hAnsi="Times New Roman" w:eastAsiaTheme="minorEastAsia"/>
          <w:sz w:val="24"/>
          <w:szCs w:val="24"/>
          <w:lang w:eastAsia="zh-CN"/>
        </w:rPr>
        <w:fldChar w:fldCharType="end"/>
      </w:r>
      <w:r>
        <w:rPr>
          <w:rFonts w:ascii="Times New Roman" w:hAnsi="Times New Roman" w:eastAsiaTheme="minorEastAsia"/>
          <w:sz w:val="24"/>
          <w:szCs w:val="24"/>
          <w:lang w:eastAsia="zh-CN"/>
        </w:rPr>
        <w:t>. Given the limited number of training samples, data augmentation strategies such as random rotation and horizontal and vertical flipping were employed during model training to enhance the model’s generalization ability. Information entropy is used to quantify the pixel-level uncertainty of fire detection results, as shown in the following formula:</w:t>
      </w:r>
    </w:p>
    <w:p w14:paraId="292911A0">
      <w:pPr>
        <w:pStyle w:val="33"/>
        <w:spacing w:line="240" w:lineRule="auto"/>
        <w:ind w:left="0" w:firstLine="0"/>
        <w:rPr>
          <w:rFonts w:ascii="Times New Roman" w:hAnsi="Times New Roman" w:eastAsiaTheme="minorEastAsia"/>
          <w:sz w:val="24"/>
          <w:szCs w:val="24"/>
          <w:lang w:eastAsia="zh-CN"/>
        </w:rPr>
      </w:pPr>
      <m:oMathPara>
        <m:oMath>
          <m:eqArr>
            <m:eqArrPr>
              <m:maxDist m:val="1"/>
              <m:ctrlPr>
                <w:rPr>
                  <w:rFonts w:ascii="Cambria Math" w:hAnsi="Cambria Math"/>
                  <w:sz w:val="24"/>
                  <w:szCs w:val="24"/>
                </w:rPr>
              </m:ctrlPr>
            </m:eqArrPr>
            <m:e>
              <m:r>
                <m:rPr/>
                <w:rPr>
                  <w:rFonts w:ascii="Cambria Math" w:hAnsi="Cambria Math"/>
                  <w:sz w:val="24"/>
                  <w:szCs w:val="24"/>
                </w:rPr>
                <m:t>f(P)=−P</m:t>
              </m:r>
              <m:func>
                <m:funcPr>
                  <m:ctrlPr>
                    <w:rPr>
                      <w:rFonts w:ascii="Cambria Math" w:hAnsi="Cambria Math"/>
                      <w:sz w:val="24"/>
                      <w:szCs w:val="24"/>
                    </w:rPr>
                  </m:ctrlPr>
                </m:funcPr>
                <m:fName>
                  <m:r>
                    <m:rPr>
                      <m:sty m:val="p"/>
                    </m:rPr>
                    <w:rPr>
                      <w:rFonts w:ascii="Cambria Math" w:hAnsi="Cambria Math"/>
                      <w:sz w:val="24"/>
                      <w:szCs w:val="24"/>
                    </w:rPr>
                    <m:t>log</m:t>
                  </m:r>
                  <m:ctrlPr>
                    <w:rPr>
                      <w:rFonts w:ascii="Cambria Math" w:hAnsi="Cambria Math"/>
                      <w:i/>
                      <w:sz w:val="24"/>
                      <w:szCs w:val="24"/>
                    </w:rPr>
                  </m:ctrlPr>
                </m:fName>
                <m:e>
                  <m:r>
                    <m:rPr/>
                    <w:rPr>
                      <w:rFonts w:ascii="Cambria Math" w:hAnsi="Cambria Math"/>
                      <w:sz w:val="24"/>
                      <w:szCs w:val="24"/>
                    </w:rPr>
                    <m:t>P</m:t>
                  </m:r>
                  <m:ctrlPr>
                    <w:rPr>
                      <w:rFonts w:ascii="Cambria Math" w:hAnsi="Cambria Math"/>
                      <w:i/>
                      <w:sz w:val="24"/>
                      <w:szCs w:val="24"/>
                    </w:rPr>
                  </m:ctrlPr>
                </m:e>
              </m:func>
              <m:r>
                <m:rPr/>
                <w:rPr>
                  <w:rFonts w:ascii="Cambria Math" w:hAnsi="Cambria Math"/>
                  <w:sz w:val="24"/>
                  <w:szCs w:val="24"/>
                </w:rPr>
                <m:t>−(1−P)</m:t>
              </m:r>
              <m:func>
                <m:funcPr>
                  <m:ctrlPr>
                    <w:rPr>
                      <w:rFonts w:ascii="Cambria Math" w:hAnsi="Cambria Math"/>
                      <w:sz w:val="24"/>
                      <w:szCs w:val="24"/>
                    </w:rPr>
                  </m:ctrlPr>
                </m:funcPr>
                <m:fName>
                  <m:r>
                    <m:rPr>
                      <m:sty m:val="p"/>
                    </m:rPr>
                    <w:rPr>
                      <w:rFonts w:ascii="Cambria Math" w:hAnsi="Cambria Math"/>
                      <w:sz w:val="24"/>
                      <w:szCs w:val="24"/>
                    </w:rPr>
                    <m:t>log</m:t>
                  </m:r>
                  <m:ctrlPr>
                    <w:rPr>
                      <w:rFonts w:ascii="Cambria Math" w:hAnsi="Cambria Math"/>
                      <w:i/>
                      <w:sz w:val="24"/>
                      <w:szCs w:val="24"/>
                    </w:rPr>
                  </m:ctrlPr>
                </m:fName>
                <m:e>
                  <m:r>
                    <m:rPr/>
                    <w:rPr>
                      <w:rFonts w:ascii="Cambria Math" w:hAnsi="Cambria Math"/>
                      <w:sz w:val="24"/>
                      <w:szCs w:val="24"/>
                    </w:rPr>
                    <m:t>(1−P)</m:t>
                  </m:r>
                  <m:ctrlPr>
                    <w:rPr>
                      <w:rFonts w:ascii="Cambria Math" w:hAnsi="Cambria Math"/>
                      <w:i/>
                      <w:sz w:val="24"/>
                      <w:szCs w:val="24"/>
                    </w:rPr>
                  </m:ctrlPr>
                </m:e>
              </m:func>
              <m:r>
                <m:rPr>
                  <m:sty m:val="p"/>
                </m:rPr>
                <w:rPr>
                  <w:rFonts w:ascii="Cambria Math" w:hAnsi="Cambria Math"/>
                  <w:sz w:val="24"/>
                  <w:szCs w:val="24"/>
                </w:rPr>
                <m:t>#(4)</m:t>
              </m:r>
              <m:ctrlPr>
                <w:rPr>
                  <w:rFonts w:ascii="Cambria Math" w:hAnsi="Cambria Math"/>
                  <w:sz w:val="24"/>
                  <w:szCs w:val="24"/>
                </w:rPr>
              </m:ctrlPr>
            </m:e>
          </m:eqArr>
        </m:oMath>
      </m:oMathPara>
    </w:p>
    <w:p w14:paraId="093AB749">
      <w:pPr>
        <w:pStyle w:val="33"/>
        <w:spacing w:line="240" w:lineRule="auto"/>
        <w:ind w:left="0" w:firstLine="0"/>
        <w:rPr>
          <w:rFonts w:ascii="Times New Roman" w:hAnsi="Times New Roman" w:eastAsiaTheme="minorEastAsia"/>
          <w:sz w:val="24"/>
          <w:szCs w:val="24"/>
          <w:lang w:eastAsia="zh-CN"/>
        </w:rPr>
      </w:pPr>
      <w:r>
        <w:rPr>
          <w:rFonts w:ascii="Times New Roman" w:hAnsi="Times New Roman" w:eastAsiaTheme="minorEastAsia"/>
          <w:sz w:val="24"/>
          <w:szCs w:val="24"/>
          <w:lang w:eastAsia="zh-CN"/>
        </w:rPr>
        <w:t>where P represents the probability that a pixel is predicted to be a burnt pixel. The higher the information entropy, the greater the uncertainty in the classification result.</w:t>
      </w:r>
    </w:p>
    <w:p w14:paraId="5B2585D0">
      <w:pPr>
        <w:pStyle w:val="33"/>
        <w:spacing w:line="240" w:lineRule="auto"/>
        <w:ind w:left="0" w:firstLine="0"/>
        <w:rPr>
          <w:rFonts w:ascii="Times New Roman" w:hAnsi="Times New Roman" w:eastAsiaTheme="minorEastAsia"/>
          <w:sz w:val="24"/>
          <w:szCs w:val="24"/>
          <w:lang w:eastAsia="zh-CN"/>
        </w:rPr>
      </w:pPr>
      <w:r>
        <w:rPr>
          <w:rFonts w:ascii="Times New Roman" w:hAnsi="Times New Roman" w:eastAsiaTheme="minorEastAsia"/>
          <w:sz w:val="24"/>
          <w:szCs w:val="24"/>
          <w:lang w:eastAsia="zh-CN"/>
        </w:rPr>
        <w:t>Furthermore, to evaluate the destruction level within the detected burned areas, fire severity was characterized by dNBR. Based on the United States Geological Survey (USGS) standards (www.usgs.gov), the specific dNBR thresholds used for severity classification in this study are presented in Table 1.</w:t>
      </w:r>
    </w:p>
    <w:p w14:paraId="46663F26">
      <w:pPr>
        <w:pStyle w:val="33"/>
        <w:spacing w:line="240" w:lineRule="auto"/>
        <w:ind w:left="0" w:firstLine="0"/>
        <w:jc w:val="center"/>
        <w:rPr>
          <w:rFonts w:ascii="Times New Roman" w:hAnsi="Times New Roman" w:eastAsiaTheme="minorEastAsia"/>
          <w:sz w:val="24"/>
          <w:szCs w:val="24"/>
          <w:lang w:eastAsia="zh-CN"/>
        </w:rPr>
      </w:pPr>
      <w:r>
        <w:rPr>
          <w:rFonts w:ascii="Times New Roman" w:hAnsi="Times New Roman" w:eastAsiaTheme="minorEastAsia"/>
          <w:sz w:val="24"/>
          <w:szCs w:val="24"/>
          <w:lang w:eastAsia="zh-CN"/>
        </w:rPr>
        <w:t>Table 1. Fire severity classification thresholds based on dNBR</w:t>
      </w:r>
    </w:p>
    <w:tbl>
      <w:tblPr>
        <w:tblStyle w:val="51"/>
        <w:tblW w:w="2303"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59"/>
        <w:gridCol w:w="2461"/>
      </w:tblGrid>
      <w:tr w14:paraId="63C559B7">
        <w:trPr>
          <w:trHeight w:val="332" w:hRule="atLeast"/>
          <w:jc w:val="center"/>
        </w:trPr>
        <w:tc>
          <w:tcPr>
            <w:tcW w:w="2499" w:type="pct"/>
            <w:tcBorders>
              <w:bottom w:val="single" w:color="auto" w:sz="4" w:space="0"/>
              <w:insideH w:val="single" w:sz="4" w:space="0"/>
            </w:tcBorders>
            <w:vAlign w:val="center"/>
          </w:tcPr>
          <w:p w14:paraId="1098BF65">
            <w:pPr>
              <w:pStyle w:val="33"/>
              <w:spacing w:line="240" w:lineRule="auto"/>
              <w:ind w:left="0" w:firstLine="0"/>
              <w:jc w:val="center"/>
              <w:rPr>
                <w:rFonts w:ascii="Times New Roman" w:hAnsi="Times New Roman" w:eastAsiaTheme="minorEastAsia"/>
                <w:b w:val="0"/>
                <w:bCs/>
                <w:i w:val="0"/>
                <w:sz w:val="24"/>
                <w:szCs w:val="24"/>
                <w:lang w:eastAsia="zh-CN"/>
              </w:rPr>
            </w:pPr>
            <w:r>
              <w:rPr>
                <w:rFonts w:ascii="Times New Roman" w:hAnsi="Times New Roman" w:eastAsiaTheme="minorEastAsia"/>
                <w:b w:val="0"/>
                <w:bCs/>
                <w:i w:val="0"/>
                <w:sz w:val="24"/>
                <w:szCs w:val="24"/>
                <w:lang w:eastAsia="zh-CN"/>
              </w:rPr>
              <w:t>Burn Severity Level</w:t>
            </w:r>
          </w:p>
        </w:tc>
        <w:tc>
          <w:tcPr>
            <w:tcW w:w="2501" w:type="pct"/>
            <w:tcBorders>
              <w:bottom w:val="single" w:color="auto" w:sz="4" w:space="0"/>
              <w:insideH w:val="single" w:sz="4" w:space="0"/>
            </w:tcBorders>
            <w:vAlign w:val="center"/>
          </w:tcPr>
          <w:p w14:paraId="4EF33858">
            <w:pPr>
              <w:pStyle w:val="33"/>
              <w:spacing w:line="240" w:lineRule="auto"/>
              <w:ind w:left="0" w:firstLine="0"/>
              <w:jc w:val="center"/>
              <w:rPr>
                <w:rFonts w:ascii="Times New Roman" w:hAnsi="Times New Roman" w:eastAsiaTheme="minorEastAsia"/>
                <w:b w:val="0"/>
                <w:bCs/>
                <w:i w:val="0"/>
                <w:sz w:val="24"/>
                <w:szCs w:val="24"/>
                <w:lang w:eastAsia="zh-CN"/>
              </w:rPr>
            </w:pPr>
            <w:r>
              <w:rPr>
                <w:rFonts w:ascii="Times New Roman" w:hAnsi="Times New Roman" w:eastAsiaTheme="minorEastAsia"/>
                <w:b w:val="0"/>
                <w:bCs/>
                <w:i w:val="0"/>
                <w:sz w:val="24"/>
                <w:szCs w:val="24"/>
                <w:lang w:eastAsia="zh-CN"/>
              </w:rPr>
              <w:t>dNBR Range</w:t>
            </w:r>
          </w:p>
        </w:tc>
      </w:tr>
      <w:tr w14:paraId="07947802">
        <w:trPr>
          <w:trHeight w:val="283" w:hRule="atLeast"/>
          <w:jc w:val="center"/>
        </w:trPr>
        <w:tc>
          <w:tcPr>
            <w:tcW w:w="2499" w:type="pct"/>
            <w:vAlign w:val="center"/>
          </w:tcPr>
          <w:p w14:paraId="7545E306">
            <w:pPr>
              <w:pStyle w:val="33"/>
              <w:spacing w:line="240" w:lineRule="auto"/>
              <w:ind w:left="0" w:firstLine="0"/>
              <w:jc w:val="center"/>
              <w:rPr>
                <w:rFonts w:ascii="Times New Roman" w:hAnsi="Times New Roman" w:eastAsiaTheme="minorEastAsia"/>
                <w:sz w:val="24"/>
                <w:szCs w:val="24"/>
                <w:lang w:eastAsia="zh-CN"/>
              </w:rPr>
            </w:pPr>
            <w:r>
              <w:rPr>
                <w:rFonts w:ascii="Times New Roman" w:hAnsi="Times New Roman" w:eastAsiaTheme="minorEastAsia"/>
                <w:sz w:val="24"/>
                <w:szCs w:val="24"/>
                <w:lang w:eastAsia="zh-CN"/>
              </w:rPr>
              <w:t>High growth</w:t>
            </w:r>
          </w:p>
        </w:tc>
        <w:tc>
          <w:tcPr>
            <w:tcW w:w="2501" w:type="pct"/>
            <w:vAlign w:val="center"/>
          </w:tcPr>
          <w:p w14:paraId="15235584">
            <w:pPr>
              <w:pStyle w:val="33"/>
              <w:spacing w:line="240" w:lineRule="auto"/>
              <w:ind w:left="0" w:firstLine="0"/>
              <w:jc w:val="center"/>
              <w:rPr>
                <w:rFonts w:ascii="Times New Roman" w:hAnsi="Times New Roman" w:eastAsiaTheme="minorEastAsia"/>
                <w:sz w:val="24"/>
                <w:szCs w:val="24"/>
                <w:lang w:eastAsia="zh-CN"/>
              </w:rPr>
            </w:pPr>
            <w:r>
              <w:rPr>
                <w:rFonts w:ascii="Times New Roman" w:hAnsi="Times New Roman" w:eastAsiaTheme="minorEastAsia"/>
                <w:sz w:val="24"/>
                <w:szCs w:val="24"/>
                <w:lang w:eastAsia="zh-CN"/>
              </w:rPr>
              <w:t>&lt; -0.25</w:t>
            </w:r>
          </w:p>
        </w:tc>
      </w:tr>
      <w:tr w14:paraId="36EF8546">
        <w:trPr>
          <w:trHeight w:val="283" w:hRule="atLeast"/>
          <w:jc w:val="center"/>
        </w:trPr>
        <w:tc>
          <w:tcPr>
            <w:tcW w:w="2499" w:type="pct"/>
            <w:vAlign w:val="center"/>
          </w:tcPr>
          <w:p w14:paraId="1AB686FD">
            <w:pPr>
              <w:pStyle w:val="33"/>
              <w:spacing w:line="240" w:lineRule="auto"/>
              <w:ind w:left="0" w:firstLine="0"/>
              <w:jc w:val="center"/>
              <w:rPr>
                <w:rFonts w:ascii="Times New Roman" w:hAnsi="Times New Roman" w:eastAsiaTheme="minorEastAsia"/>
                <w:sz w:val="24"/>
                <w:szCs w:val="24"/>
                <w:lang w:eastAsia="zh-CN"/>
              </w:rPr>
            </w:pPr>
            <w:r>
              <w:rPr>
                <w:rFonts w:ascii="Times New Roman" w:hAnsi="Times New Roman" w:eastAsiaTheme="minorEastAsia"/>
                <w:sz w:val="24"/>
                <w:szCs w:val="24"/>
                <w:lang w:eastAsia="zh-CN"/>
              </w:rPr>
              <w:t>Low growth</w:t>
            </w:r>
          </w:p>
        </w:tc>
        <w:tc>
          <w:tcPr>
            <w:tcW w:w="2501" w:type="pct"/>
            <w:vAlign w:val="center"/>
          </w:tcPr>
          <w:p w14:paraId="67655EB7">
            <w:pPr>
              <w:pStyle w:val="33"/>
              <w:spacing w:line="240" w:lineRule="auto"/>
              <w:ind w:left="0" w:firstLine="0"/>
              <w:jc w:val="center"/>
              <w:rPr>
                <w:rFonts w:ascii="Times New Roman" w:hAnsi="Times New Roman" w:eastAsiaTheme="minorEastAsia"/>
                <w:sz w:val="24"/>
                <w:szCs w:val="24"/>
                <w:lang w:eastAsia="zh-CN"/>
              </w:rPr>
            </w:pPr>
            <w:r>
              <w:rPr>
                <w:rFonts w:ascii="Times New Roman" w:hAnsi="Times New Roman" w:eastAsiaTheme="minorEastAsia"/>
                <w:sz w:val="24"/>
                <w:szCs w:val="24"/>
                <w:lang w:eastAsia="zh-CN"/>
              </w:rPr>
              <w:t>-0.25~-0.1</w:t>
            </w:r>
          </w:p>
        </w:tc>
      </w:tr>
      <w:tr w14:paraId="6ADD06BE">
        <w:trPr>
          <w:trHeight w:val="283" w:hRule="atLeast"/>
          <w:jc w:val="center"/>
        </w:trPr>
        <w:tc>
          <w:tcPr>
            <w:tcW w:w="2499" w:type="pct"/>
            <w:vAlign w:val="center"/>
          </w:tcPr>
          <w:p w14:paraId="250FA1D7">
            <w:pPr>
              <w:pStyle w:val="33"/>
              <w:spacing w:line="240" w:lineRule="auto"/>
              <w:ind w:left="0" w:firstLine="0"/>
              <w:jc w:val="center"/>
              <w:rPr>
                <w:rFonts w:ascii="Times New Roman" w:hAnsi="Times New Roman" w:eastAsiaTheme="minorEastAsia"/>
                <w:sz w:val="24"/>
                <w:szCs w:val="24"/>
                <w:lang w:eastAsia="zh-CN"/>
              </w:rPr>
            </w:pPr>
            <w:r>
              <w:rPr>
                <w:rFonts w:ascii="Times New Roman" w:hAnsi="Times New Roman" w:eastAsiaTheme="minorEastAsia"/>
                <w:sz w:val="24"/>
                <w:szCs w:val="24"/>
                <w:lang w:eastAsia="zh-CN"/>
              </w:rPr>
              <w:t>Unburnt</w:t>
            </w:r>
          </w:p>
        </w:tc>
        <w:tc>
          <w:tcPr>
            <w:tcW w:w="2501" w:type="pct"/>
            <w:vAlign w:val="center"/>
          </w:tcPr>
          <w:p w14:paraId="63C07F35">
            <w:pPr>
              <w:pStyle w:val="33"/>
              <w:spacing w:line="240" w:lineRule="auto"/>
              <w:ind w:left="0" w:firstLine="0"/>
              <w:jc w:val="center"/>
              <w:rPr>
                <w:rFonts w:ascii="Times New Roman" w:hAnsi="Times New Roman" w:eastAsiaTheme="minorEastAsia"/>
                <w:sz w:val="24"/>
                <w:szCs w:val="24"/>
                <w:lang w:eastAsia="zh-CN"/>
              </w:rPr>
            </w:pPr>
            <w:r>
              <w:rPr>
                <w:rFonts w:ascii="Times New Roman" w:hAnsi="Times New Roman" w:eastAsiaTheme="minorEastAsia"/>
                <w:sz w:val="24"/>
                <w:szCs w:val="24"/>
                <w:lang w:eastAsia="zh-CN"/>
              </w:rPr>
              <w:t>-0.1~0.1</w:t>
            </w:r>
          </w:p>
        </w:tc>
      </w:tr>
      <w:tr w14:paraId="215E94A7">
        <w:trPr>
          <w:trHeight w:val="283" w:hRule="atLeast"/>
          <w:jc w:val="center"/>
        </w:trPr>
        <w:tc>
          <w:tcPr>
            <w:tcW w:w="2499" w:type="pct"/>
            <w:vAlign w:val="center"/>
          </w:tcPr>
          <w:p w14:paraId="3C5895D8">
            <w:pPr>
              <w:pStyle w:val="33"/>
              <w:spacing w:line="240" w:lineRule="auto"/>
              <w:ind w:left="0" w:firstLine="0"/>
              <w:jc w:val="center"/>
              <w:rPr>
                <w:rFonts w:ascii="Times New Roman" w:hAnsi="Times New Roman" w:eastAsiaTheme="minorEastAsia"/>
                <w:sz w:val="24"/>
                <w:szCs w:val="24"/>
                <w:lang w:eastAsia="zh-CN"/>
              </w:rPr>
            </w:pPr>
            <w:r>
              <w:rPr>
                <w:rFonts w:ascii="Times New Roman" w:hAnsi="Times New Roman" w:eastAsiaTheme="minorEastAsia"/>
                <w:sz w:val="24"/>
                <w:szCs w:val="24"/>
                <w:lang w:eastAsia="zh-CN"/>
              </w:rPr>
              <w:t>Low</w:t>
            </w:r>
          </w:p>
        </w:tc>
        <w:tc>
          <w:tcPr>
            <w:tcW w:w="2501" w:type="pct"/>
            <w:vAlign w:val="center"/>
          </w:tcPr>
          <w:p w14:paraId="2D794BD2">
            <w:pPr>
              <w:pStyle w:val="33"/>
              <w:spacing w:line="240" w:lineRule="auto"/>
              <w:ind w:left="0" w:firstLine="0"/>
              <w:jc w:val="center"/>
              <w:rPr>
                <w:rFonts w:ascii="Times New Roman" w:hAnsi="Times New Roman" w:eastAsiaTheme="minorEastAsia"/>
                <w:sz w:val="24"/>
                <w:szCs w:val="24"/>
                <w:lang w:eastAsia="zh-CN"/>
              </w:rPr>
            </w:pPr>
            <w:r>
              <w:rPr>
                <w:rFonts w:ascii="Times New Roman" w:hAnsi="Times New Roman" w:eastAsiaTheme="minorEastAsia"/>
                <w:sz w:val="24"/>
                <w:szCs w:val="24"/>
                <w:lang w:eastAsia="zh-CN"/>
              </w:rPr>
              <w:t>0.1~0.27</w:t>
            </w:r>
          </w:p>
        </w:tc>
      </w:tr>
      <w:tr w14:paraId="239D92C7">
        <w:trPr>
          <w:trHeight w:val="283" w:hRule="atLeast"/>
          <w:jc w:val="center"/>
        </w:trPr>
        <w:tc>
          <w:tcPr>
            <w:tcW w:w="2499" w:type="pct"/>
            <w:vAlign w:val="center"/>
          </w:tcPr>
          <w:p w14:paraId="44798A95">
            <w:pPr>
              <w:pStyle w:val="33"/>
              <w:spacing w:line="240" w:lineRule="auto"/>
              <w:ind w:left="0" w:firstLine="0"/>
              <w:jc w:val="center"/>
              <w:rPr>
                <w:rFonts w:ascii="Times New Roman" w:hAnsi="Times New Roman" w:eastAsiaTheme="minorEastAsia"/>
                <w:sz w:val="24"/>
                <w:szCs w:val="24"/>
                <w:lang w:eastAsia="zh-CN"/>
              </w:rPr>
            </w:pPr>
            <w:r>
              <w:rPr>
                <w:rFonts w:ascii="Times New Roman" w:hAnsi="Times New Roman" w:eastAsiaTheme="minorEastAsia"/>
                <w:sz w:val="24"/>
                <w:szCs w:val="24"/>
                <w:lang w:eastAsia="zh-CN"/>
              </w:rPr>
              <w:t>Moderate-low</w:t>
            </w:r>
          </w:p>
        </w:tc>
        <w:tc>
          <w:tcPr>
            <w:tcW w:w="2501" w:type="pct"/>
            <w:vAlign w:val="center"/>
          </w:tcPr>
          <w:p w14:paraId="05C64DA6">
            <w:pPr>
              <w:pStyle w:val="33"/>
              <w:spacing w:line="240" w:lineRule="auto"/>
              <w:ind w:left="0" w:firstLine="0"/>
              <w:jc w:val="center"/>
              <w:rPr>
                <w:rFonts w:ascii="Times New Roman" w:hAnsi="Times New Roman" w:eastAsiaTheme="minorEastAsia"/>
                <w:sz w:val="24"/>
                <w:szCs w:val="24"/>
                <w:lang w:eastAsia="zh-CN"/>
              </w:rPr>
            </w:pPr>
            <w:r>
              <w:rPr>
                <w:rFonts w:ascii="Times New Roman" w:hAnsi="Times New Roman" w:eastAsiaTheme="minorEastAsia"/>
                <w:sz w:val="24"/>
                <w:szCs w:val="24"/>
                <w:lang w:eastAsia="zh-CN"/>
              </w:rPr>
              <w:t>0.27~0.44</w:t>
            </w:r>
          </w:p>
        </w:tc>
      </w:tr>
      <w:tr w14:paraId="0EEE4BCE">
        <w:trPr>
          <w:trHeight w:val="283" w:hRule="atLeast"/>
          <w:jc w:val="center"/>
        </w:trPr>
        <w:tc>
          <w:tcPr>
            <w:tcW w:w="2499" w:type="pct"/>
            <w:vAlign w:val="center"/>
          </w:tcPr>
          <w:p w14:paraId="6F149BFB">
            <w:pPr>
              <w:pStyle w:val="33"/>
              <w:spacing w:line="240" w:lineRule="auto"/>
              <w:ind w:left="0" w:firstLine="0"/>
              <w:jc w:val="center"/>
              <w:rPr>
                <w:rFonts w:ascii="Times New Roman" w:hAnsi="Times New Roman" w:eastAsiaTheme="minorEastAsia"/>
                <w:sz w:val="24"/>
                <w:szCs w:val="24"/>
                <w:lang w:eastAsia="zh-CN"/>
              </w:rPr>
            </w:pPr>
            <w:r>
              <w:rPr>
                <w:rFonts w:ascii="Times New Roman" w:hAnsi="Times New Roman" w:eastAsiaTheme="minorEastAsia"/>
                <w:sz w:val="24"/>
                <w:szCs w:val="24"/>
                <w:lang w:eastAsia="zh-CN"/>
              </w:rPr>
              <w:t>Moderate-high</w:t>
            </w:r>
          </w:p>
        </w:tc>
        <w:tc>
          <w:tcPr>
            <w:tcW w:w="2501" w:type="pct"/>
            <w:vAlign w:val="center"/>
          </w:tcPr>
          <w:p w14:paraId="04B0D529">
            <w:pPr>
              <w:pStyle w:val="33"/>
              <w:spacing w:line="240" w:lineRule="auto"/>
              <w:ind w:left="0" w:firstLine="0"/>
              <w:jc w:val="center"/>
              <w:rPr>
                <w:rFonts w:ascii="Times New Roman" w:hAnsi="Times New Roman" w:eastAsiaTheme="minorEastAsia"/>
                <w:sz w:val="24"/>
                <w:szCs w:val="24"/>
                <w:lang w:eastAsia="zh-CN"/>
              </w:rPr>
            </w:pPr>
            <w:r>
              <w:rPr>
                <w:rFonts w:ascii="Times New Roman" w:hAnsi="Times New Roman" w:eastAsiaTheme="minorEastAsia"/>
                <w:sz w:val="24"/>
                <w:szCs w:val="24"/>
                <w:lang w:eastAsia="zh-CN"/>
              </w:rPr>
              <w:t>0.44~0.66</w:t>
            </w:r>
          </w:p>
        </w:tc>
      </w:tr>
      <w:tr w14:paraId="2648A457">
        <w:trPr>
          <w:trHeight w:val="283" w:hRule="atLeast"/>
          <w:jc w:val="center"/>
        </w:trPr>
        <w:tc>
          <w:tcPr>
            <w:tcW w:w="2499" w:type="pct"/>
            <w:vAlign w:val="center"/>
          </w:tcPr>
          <w:p w14:paraId="66DEE35E">
            <w:pPr>
              <w:pStyle w:val="33"/>
              <w:spacing w:line="240" w:lineRule="auto"/>
              <w:ind w:left="0" w:firstLine="0"/>
              <w:jc w:val="center"/>
              <w:rPr>
                <w:rFonts w:ascii="Times New Roman" w:hAnsi="Times New Roman" w:eastAsiaTheme="minorEastAsia"/>
                <w:sz w:val="24"/>
                <w:szCs w:val="24"/>
                <w:lang w:eastAsia="zh-CN"/>
              </w:rPr>
            </w:pPr>
            <w:r>
              <w:rPr>
                <w:rFonts w:ascii="Times New Roman" w:hAnsi="Times New Roman" w:eastAsiaTheme="minorEastAsia"/>
                <w:sz w:val="24"/>
                <w:szCs w:val="24"/>
                <w:lang w:eastAsia="zh-CN"/>
              </w:rPr>
              <w:t>High</w:t>
            </w:r>
          </w:p>
        </w:tc>
        <w:tc>
          <w:tcPr>
            <w:tcW w:w="2501" w:type="pct"/>
            <w:vAlign w:val="center"/>
          </w:tcPr>
          <w:p w14:paraId="0FC57C92">
            <w:pPr>
              <w:pStyle w:val="33"/>
              <w:spacing w:line="240" w:lineRule="auto"/>
              <w:ind w:left="0" w:firstLine="0"/>
              <w:jc w:val="center"/>
              <w:rPr>
                <w:rFonts w:ascii="Times New Roman" w:hAnsi="Times New Roman" w:eastAsiaTheme="minorEastAsia"/>
                <w:sz w:val="24"/>
                <w:szCs w:val="24"/>
                <w:lang w:eastAsia="zh-CN"/>
              </w:rPr>
            </w:pPr>
            <w:r>
              <w:rPr>
                <w:rFonts w:ascii="Times New Roman" w:hAnsi="Times New Roman" w:eastAsiaTheme="minorEastAsia"/>
                <w:sz w:val="24"/>
                <w:szCs w:val="24"/>
                <w:lang w:eastAsia="zh-CN"/>
              </w:rPr>
              <w:t>&gt; 0.66</w:t>
            </w:r>
          </w:p>
        </w:tc>
      </w:tr>
    </w:tbl>
    <w:p w14:paraId="2DA539A3">
      <w:pPr>
        <w:pStyle w:val="48"/>
        <w:spacing w:before="240" w:line="240" w:lineRule="auto"/>
        <w:ind w:left="0"/>
        <w:rPr>
          <w:rFonts w:ascii="Times New Roman" w:hAnsi="Times New Roman" w:eastAsiaTheme="minorEastAsia"/>
          <w:i w:val="0"/>
          <w:iCs/>
          <w:sz w:val="24"/>
          <w:szCs w:val="24"/>
          <w:lang w:eastAsia="zh-CN"/>
        </w:rPr>
      </w:pPr>
      <w:r>
        <w:rPr>
          <w:rFonts w:ascii="Times New Roman" w:hAnsi="Times New Roman" w:eastAsiaTheme="minorEastAsia"/>
          <w:i w:val="0"/>
          <w:iCs/>
          <w:sz w:val="24"/>
          <w:szCs w:val="24"/>
          <w:lang w:eastAsia="zh-CN"/>
        </w:rPr>
        <w:t>2.3 Species Suitable Modeling Habitat Coupling Remote Sensing and MaxEnt</w:t>
      </w:r>
    </w:p>
    <w:p w14:paraId="6CB6DFF5">
      <w:pPr>
        <w:pStyle w:val="33"/>
        <w:spacing w:line="240" w:lineRule="auto"/>
        <w:ind w:left="0" w:firstLine="0"/>
        <w:rPr>
          <w:rFonts w:ascii="Times New Roman" w:hAnsi="Times New Roman" w:eastAsiaTheme="minorEastAsia"/>
          <w:sz w:val="24"/>
          <w:szCs w:val="24"/>
          <w:lang w:eastAsia="zh-CN"/>
        </w:rPr>
      </w:pPr>
      <w:r>
        <w:rPr>
          <w:rFonts w:ascii="Times New Roman" w:hAnsi="Times New Roman" w:eastAsiaTheme="minorEastAsia"/>
          <w:sz w:val="24"/>
          <w:szCs w:val="24"/>
          <w:lang w:eastAsia="zh-CN"/>
        </w:rPr>
        <w:t>Species Distribution Models (SDMs) have been widely applied in research within the field of biodiversity conservation</w:t>
      </w:r>
      <w:r>
        <w:rPr>
          <w:rFonts w:ascii="Times New Roman" w:hAnsi="Times New Roman" w:eastAsiaTheme="minorEastAsia"/>
          <w:sz w:val="24"/>
          <w:szCs w:val="24"/>
          <w:lang w:eastAsia="zh-CN"/>
        </w:rPr>
        <w:fldChar w:fldCharType="begin"/>
      </w:r>
      <w:r>
        <w:rPr>
          <w:rFonts w:ascii="Times New Roman" w:hAnsi="Times New Roman" w:eastAsiaTheme="minorEastAsia"/>
          <w:sz w:val="24"/>
          <w:szCs w:val="24"/>
          <w:lang w:eastAsia="zh-CN"/>
        </w:rPr>
        <w:instrText xml:space="preserve"> ADDIN ZOTERO_ITEM CSL_CITATION {"citationID":"EzYzwvL4","properties":{"unsorted":false,"formattedCitation":"(Jia Yihang et al., 2025)","plainCitation":"(Jia Yihang et al., 2025)","noteIndex":0},"citationItems":[{"id":479,"uris":["http://zotero.org/users/17543282/items/7557VNR3"],"itemData":{"id":479,"type":"article-journal","abstract":"&lt;p&gt;Species distribution models (SDMs), grounded fundamentally in Hutchinson's ecological niche concept and biogeographical principles, serve as indispensable analytical frameworks for investigating, simulating, and projecting the potential geographical distributions of species under current and future climate change scenarios. The SDMs offer important support for scientific ecosystem management by predicting emergent spatial ecological patterns and elucidating species' potential responses to diverse environmental disturbances, including changing climatic regimes, habitat fragmentation, and anthropogenic land use changes. This comprehensive review integrates the concepts and types of SDMs and outlines prevalent methodologies and their diverse applications in ecosystem management. This paper summarizes the concepts and types of species distribution models and outlines three modeling approaches: environmental envelope techniques (e.g., BIOCLIM), which define species' fundamental niches by identifying environmental extremes from occurrence data; regression analyses (e.g., GLM, MARS), employing statistical relationships between presence/absence records and predictor variables; and machine learning (e.g., MaxEnt, RF, ANN) leveraging complex, non-linear pattern recognition capabilities. The fundamental predictive workflow consists of three critical steps: 1) data preparation—compiling species occurrence records (presence-only, presence/absence) and spatially explicit environmental variables (climate, terrain, soil); 2) model selection—choosing appropriate algorithms based on data quality and objectives; and 3) model evaluation—applying indicators (AUC, TSS) to validate prediction accuracy and robustness. These methods enable the construction of reliable predictive models that incorporate species occurrence records and relevant environmental variables to infer potential geographic distributions. The effectiveness of SDM outputs is assessed across five distinct ecosystem management contexts. Key applications demonstrated include: 1) forest ecosystems: quantifying the dynamic impacts of climate-driven and disturbance-driven changes in species ranges; 2) wetland ecosystems: predicting invasive species spread and native biodiversity threats; 3) agricultural ecosystems: delineating crop suitability shifts and pest/disease expansion risks; 4) urban ecosystems: ranking habitat suitability and assessing the potential for biodiversity conservation; 5) marine ecosystems: revealing spatial dynamics of surface-dwelling species under ocean warming. The study further highlights future directions for SDM development. These applications provide critical spatial predictions for developing proactive conservation and management strategies. The review underscores the vital role of SDMs as powerful tools for translating species-environment relationships into practical insights for ecosystem management under global change. Future development directions include: 1) enhanced integration of dynamic ecological mechanisms (e.g., dispersal, biotic interactions, adaptive evolution) to improve temporal projection realism; 2) deeper integration of multi-source data (remote sensing, genomics, citizen science) with advanced AI/machine learning to refine model accuracy and resolution; and 3) closer coupling with ecosystem service evaluation modeling to optimize conservation resource allocation. SDMs constitute indispensable tools for predicting biotic redistribution patterns in changing environments, enabling evidence-based ecosystem management strategies. Advancing SDMs along these pathways is crucial for strengthening their scientific foundation and practical utility in guiding adaptive ecosystem management.&lt;/p&gt;","container-title":"Science of Soil and Water Conservation","DOI":"10.16843/j.sswc.2025104","ISSN":"2096-2673","issue":"2","journalAbbreviation":"zgstbckx","language":"zh","license":"http://creativecommons.org/licenses/by/3.0/","page":"7-17","source":"zgstbckx.xml-journal.net","title":"Species distribution models: Conceptual typologies, modeling predictions, and applications in ecosystem management","title-short":"Species distribution models","volume":"24","author":[{"literal":"Jia Yihang"},{"literal":"Shu Huilin"},{"literal":"Lei Gang"},{"literal":"Yang Yang"},{"literal":"Qi Lianghua"}],"issued":{"date-parts":[["2025",7,28]]}}}],"schema":"https://github.com/citation-style-language/schema/raw/master/csl-citation.json"} </w:instrText>
      </w:r>
      <w:r>
        <w:rPr>
          <w:rFonts w:ascii="Times New Roman" w:hAnsi="Times New Roman" w:eastAsiaTheme="minorEastAsia"/>
          <w:sz w:val="24"/>
          <w:szCs w:val="24"/>
          <w:lang w:eastAsia="zh-CN"/>
        </w:rPr>
        <w:fldChar w:fldCharType="separate"/>
      </w:r>
      <w:r>
        <w:rPr>
          <w:rFonts w:ascii="Times New Roman" w:hAnsi="Times New Roman" w:eastAsiaTheme="minorEastAsia"/>
          <w:sz w:val="24"/>
        </w:rPr>
        <w:t>(Jia Yihang et al., 2025)</w:t>
      </w:r>
      <w:r>
        <w:rPr>
          <w:rFonts w:ascii="Times New Roman" w:hAnsi="Times New Roman" w:eastAsiaTheme="minorEastAsia"/>
          <w:sz w:val="24"/>
          <w:szCs w:val="24"/>
          <w:lang w:eastAsia="zh-CN"/>
        </w:rPr>
        <w:fldChar w:fldCharType="end"/>
      </w:r>
      <w:r>
        <w:rPr>
          <w:rFonts w:ascii="Times New Roman" w:hAnsi="Times New Roman" w:eastAsiaTheme="minorEastAsia"/>
          <w:sz w:val="24"/>
          <w:szCs w:val="24"/>
          <w:lang w:eastAsia="zh-CN"/>
        </w:rPr>
        <w:t>, among these, MaxEnt is frequently used for habitat suitability assessments due to its low dependence on occurrence data and high robustness</w:t>
      </w:r>
      <w:r>
        <w:rPr>
          <w:rFonts w:ascii="Times New Roman" w:hAnsi="Times New Roman" w:eastAsiaTheme="minorEastAsia"/>
          <w:sz w:val="24"/>
          <w:szCs w:val="24"/>
          <w:lang w:eastAsia="zh-CN"/>
        </w:rPr>
        <w:fldChar w:fldCharType="begin"/>
      </w:r>
      <w:r>
        <w:rPr>
          <w:rFonts w:ascii="Times New Roman" w:hAnsi="Times New Roman" w:eastAsiaTheme="minorEastAsia"/>
          <w:sz w:val="24"/>
          <w:szCs w:val="24"/>
          <w:lang w:eastAsia="zh-CN"/>
        </w:rPr>
        <w:instrText xml:space="preserve"> ADDIN ZOTERO_ITEM CSL_CITATION {"citationID":"UMZCaAoT","properties":{"unsorted":false,"formattedCitation":"(Fateme Ghareghan et al., 2020)","plainCitation":"(Fateme Ghareghan et al., 2020)","noteIndex":0},"citationItems":[{"id":481,"uris":["http://zotero.org/users/17543282/items/U3NR68AH"],"itemData":{"id":481,"type":"article-journal","abstract":"The Morina genus has 13 species in the world, out of which only M. persica L. is found to be growing wild in Iran. The aim of this research is to pred…","container-title":"Ecological Indicators","DOI":"10.1016/j.ecolind.2020.106096","ISSN":"1470-160X","language":"en-US","page":"106096","publisher":"Elsevier","source":"www.sciencedirect.com","title":"Prediction of habitat suitability of Morina persica L. species using artificial intelligence techniques","volume":"112","author":[{"literal":"Fateme Ghareghan"},{"literal":"Gholamabbas Ghanbarian"},{"literal":"Hamid Reza Pourghasemi"},{"literal":"Roja Safaeian"}],"issued":{"date-parts":[["2020",5,1]]}}}],"schema":"https://github.com/citation-style-language/schema/raw/master/csl-citation.json"} </w:instrText>
      </w:r>
      <w:r>
        <w:rPr>
          <w:rFonts w:ascii="Times New Roman" w:hAnsi="Times New Roman" w:eastAsiaTheme="minorEastAsia"/>
          <w:sz w:val="24"/>
          <w:szCs w:val="24"/>
          <w:lang w:eastAsia="zh-CN"/>
        </w:rPr>
        <w:fldChar w:fldCharType="separate"/>
      </w:r>
      <w:r>
        <w:rPr>
          <w:rFonts w:ascii="Times New Roman" w:hAnsi="Times New Roman" w:eastAsiaTheme="minorEastAsia"/>
          <w:sz w:val="24"/>
        </w:rPr>
        <w:t>(Fateme Ghareghan et al., 2020)</w:t>
      </w:r>
      <w:r>
        <w:rPr>
          <w:rFonts w:ascii="Times New Roman" w:hAnsi="Times New Roman" w:eastAsiaTheme="minorEastAsia"/>
          <w:sz w:val="24"/>
          <w:szCs w:val="24"/>
          <w:lang w:eastAsia="zh-CN"/>
        </w:rPr>
        <w:fldChar w:fldCharType="end"/>
      </w:r>
      <w:r>
        <w:rPr>
          <w:rFonts w:ascii="Times New Roman" w:hAnsi="Times New Roman" w:eastAsiaTheme="minorEastAsia"/>
          <w:sz w:val="24"/>
          <w:szCs w:val="24"/>
          <w:lang w:eastAsia="zh-CN"/>
        </w:rPr>
        <w:t>. This study uses the area under the receiver operating characteristic curve (AUC, range 0–1) to assess the accuracy of the model fit, a higher value indicates better model performance</w:t>
      </w:r>
      <w:r>
        <w:rPr>
          <w:rFonts w:ascii="Times New Roman" w:hAnsi="Times New Roman" w:eastAsiaTheme="minorEastAsia"/>
          <w:sz w:val="24"/>
          <w:szCs w:val="24"/>
          <w:lang w:eastAsia="zh-CN"/>
        </w:rPr>
        <w:fldChar w:fldCharType="begin"/>
      </w:r>
      <w:r>
        <w:rPr>
          <w:rFonts w:ascii="Times New Roman" w:hAnsi="Times New Roman" w:eastAsiaTheme="minorEastAsia"/>
          <w:sz w:val="24"/>
          <w:szCs w:val="24"/>
          <w:lang w:eastAsia="zh-CN"/>
        </w:rPr>
        <w:instrText xml:space="preserve"> ADDIN ZOTERO_ITEM CSL_CITATION {"citationID":"fkNiMIk8","properties":{"formattedCitation":"(Phillips et al., 2006)","plainCitation":"(Phillips et al., 2006)","noteIndex":0},"citationItems":[{"id":322,"uris":["http://zotero.org/users/17543282/items/9AZ4S72L"],"itemData":{"id":322,"type":"article-journal","abstract":"The availability of detailed environmental data, together with inexpensive and powerful computers, has fueled a rapid increase in predictive modeling of species environmental requirements and geographic distributions. For some species, detailed presence/absence occurrence data are available, allowing the use of a variety of standard statistical techniques. However, absence data are not available for most species. In this paper, we introduce the use of the maximum entropy method (Maxent) for modeling species geographic distributions with presence-only data. Maxent is a general-purpose machine learning method with a simple and precise mathematical formulation, and it has a number of aspects that make it well-suited for species distribution modeling. In order to investigate the efficacy of the method, here we perform a continental-scale case study using two Neotropical mammals: a lowland species of sloth, Bradypus variegatus, and a small montane murid rodent, Microryzomys minutus. We compared Maxent predictions with those of a commonly used presence-only modeling method, the Genetic Algorithm for Rule-Set Prediction (GARP). We made predictions on 10 random subsets of the occurrence records for both species, and then used the remaining localities for testing. Both algorithms provided reasonable estimates of the species’ range, far superior to the shaded outline maps available in field guides. All models were significantly better than random in both binomial tests of omission and receiver operating characteristic (ROC) analyses. The area under the ROC curve (AUC) was almost always higher for Maxent, indicating better discrimination of suitable versus unsuitable areas for the species. The Maxent modeling approach can be used in its present form for many applications with presence-only datasets, and merits further research and development.","container-title":"Ecological Modelling","DOI":"10.1016/j.ecolmodel.2005.03.026","ISSN":"0304-3800","issue":"3","journalAbbreviation":"Ecological Modelling","page":"231-259","source":"ScienceDirect","title":"Maximum entropy modeling of species geographic distributions","volume":"190","author":[{"family":"Phillips","given":"Steven J."},{"family":"Anderson","given":"Robert P."},{"family":"Schapire","given":"Robert E."}],"issued":{"date-parts":[["2006",1,25]]}}}],"schema":"https://github.com/citation-style-language/schema/raw/master/csl-citation.json"} </w:instrText>
      </w:r>
      <w:r>
        <w:rPr>
          <w:rFonts w:ascii="Times New Roman" w:hAnsi="Times New Roman" w:eastAsiaTheme="minorEastAsia"/>
          <w:sz w:val="24"/>
          <w:szCs w:val="24"/>
          <w:lang w:eastAsia="zh-CN"/>
        </w:rPr>
        <w:fldChar w:fldCharType="separate"/>
      </w:r>
      <w:r>
        <w:rPr>
          <w:rFonts w:ascii="Times New Roman" w:hAnsi="Times New Roman" w:eastAsiaTheme="minorEastAsia"/>
          <w:sz w:val="24"/>
        </w:rPr>
        <w:t>(Phillips et al., 2006)</w:t>
      </w:r>
      <w:r>
        <w:rPr>
          <w:rFonts w:ascii="Times New Roman" w:hAnsi="Times New Roman" w:eastAsiaTheme="minorEastAsia"/>
          <w:sz w:val="24"/>
          <w:szCs w:val="24"/>
          <w:lang w:eastAsia="zh-CN"/>
        </w:rPr>
        <w:fldChar w:fldCharType="end"/>
      </w:r>
      <w:r>
        <w:rPr>
          <w:rFonts w:ascii="Times New Roman" w:hAnsi="Times New Roman" w:eastAsiaTheme="minorEastAsia"/>
          <w:sz w:val="24"/>
          <w:szCs w:val="24"/>
          <w:lang w:eastAsia="zh-CN"/>
        </w:rPr>
        <w:t>.</w:t>
      </w:r>
      <w:r>
        <w:rPr>
          <w:rFonts w:ascii="Times New Roman" w:hAnsi="Times New Roman"/>
          <w:sz w:val="24"/>
          <w:szCs w:val="24"/>
        </w:rPr>
        <w:t xml:space="preserve"> </w:t>
      </w:r>
      <w:r>
        <w:rPr>
          <w:rFonts w:ascii="Times New Roman" w:hAnsi="Times New Roman" w:eastAsiaTheme="minorEastAsia"/>
          <w:sz w:val="24"/>
          <w:szCs w:val="24"/>
          <w:lang w:eastAsia="zh-CN"/>
        </w:rPr>
        <w:t>We utilized the 0–1 probability distribution data provided by the model and applied a logical threshold method based on “equal training sensitivity and specificity” to determine the presence or absence of a species</w:t>
      </w:r>
      <w:r>
        <w:rPr>
          <w:rFonts w:ascii="Times New Roman" w:hAnsi="Times New Roman" w:eastAsiaTheme="minorEastAsia"/>
          <w:sz w:val="24"/>
          <w:szCs w:val="24"/>
          <w:lang w:eastAsia="zh-CN"/>
        </w:rPr>
        <w:fldChar w:fldCharType="begin"/>
      </w:r>
      <w:r>
        <w:rPr>
          <w:rFonts w:ascii="Times New Roman" w:hAnsi="Times New Roman" w:eastAsiaTheme="minorEastAsia"/>
          <w:sz w:val="24"/>
          <w:szCs w:val="24"/>
          <w:lang w:eastAsia="zh-CN"/>
        </w:rPr>
        <w:instrText xml:space="preserve"> ADDIN ZOTERO_ITEM CSL_CITATION {"citationID":"qXcDgRQn","properties":{"unsorted":false,"formattedCitation":"(Teng &amp; Liu, 2022)","plainCitation":"(Teng &amp; Liu, 2022)","noteIndex":0},"citationItems":[{"id":62,"uris":["http://zotero.org/users/17543282/items/HN2NNPEZ"],"itemData":{"id":62,"type":"article-journal","container-title":"Biodiversity Science","DOI":"10.17520/biods.2021204","ISSN":"1005-0094","issue":"1","journalAbbreviation":"生物多样性","language":"cn","page":"21204","source":"www.biodiversity-science.net","title":"The spatio-temporal impact of domestic dogs (Canis familiaris) on giant panda (Ailuropoda melanoleuca) in Baishuijiang National Nature Reserve","volume":"30","author":[{"family":"Teng","given":"Jirong"},{"family":"Liu","given":"Xingming"}],"issued":{"date-parts":[["2022"]]}}}],"schema":"https://github.com/citation-style-language/schema/raw/master/csl-citation.json"} </w:instrText>
      </w:r>
      <w:r>
        <w:rPr>
          <w:rFonts w:ascii="Times New Roman" w:hAnsi="Times New Roman" w:eastAsiaTheme="minorEastAsia"/>
          <w:sz w:val="24"/>
          <w:szCs w:val="24"/>
          <w:lang w:eastAsia="zh-CN"/>
        </w:rPr>
        <w:fldChar w:fldCharType="separate"/>
      </w:r>
      <w:r>
        <w:rPr>
          <w:rFonts w:ascii="Times New Roman" w:hAnsi="Times New Roman" w:eastAsiaTheme="minorEastAsia"/>
          <w:sz w:val="24"/>
        </w:rPr>
        <w:t>(Teng &amp; Liu, 2022)</w:t>
      </w:r>
      <w:r>
        <w:rPr>
          <w:rFonts w:ascii="Times New Roman" w:hAnsi="Times New Roman" w:eastAsiaTheme="minorEastAsia"/>
          <w:sz w:val="24"/>
          <w:szCs w:val="24"/>
          <w:lang w:eastAsia="zh-CN"/>
        </w:rPr>
        <w:fldChar w:fldCharType="end"/>
      </w:r>
      <w:r>
        <w:rPr>
          <w:rFonts w:ascii="Times New Roman" w:hAnsi="Times New Roman" w:eastAsiaTheme="minorEastAsia"/>
          <w:sz w:val="24"/>
          <w:szCs w:val="24"/>
          <w:lang w:eastAsia="zh-CN"/>
        </w:rPr>
        <w:t>, thereby converting the continuous suitability probability output by the model into a binary (present/absent) suitable habitat classification.</w:t>
      </w:r>
    </w:p>
    <w:p w14:paraId="4BE158CE">
      <w:pPr>
        <w:pStyle w:val="33"/>
        <w:spacing w:line="240" w:lineRule="auto"/>
        <w:ind w:left="0" w:firstLine="0"/>
        <w:rPr>
          <w:rFonts w:ascii="Times New Roman" w:hAnsi="Times New Roman" w:eastAsiaTheme="minorEastAsia"/>
          <w:sz w:val="24"/>
          <w:szCs w:val="24"/>
          <w:lang w:eastAsia="zh-CN"/>
        </w:rPr>
      </w:pPr>
      <w:r>
        <w:rPr>
          <w:rFonts w:ascii="Times New Roman" w:hAnsi="Times New Roman" w:eastAsiaTheme="minorEastAsia"/>
          <w:sz w:val="24"/>
          <w:szCs w:val="24"/>
          <w:lang w:eastAsia="zh-CN"/>
        </w:rPr>
        <w:t>Focusing on terrestrial vertebrates with limited dispersal capacity and sensitivity to wildfire disturbance, we collected distribution data of mammal, reptile and amphibian, data was obtained from the Global Biodiversity Information Facility (GBIF, https://www.gbif.org/). Furthermore, SDMTools was used to eliminate spatial autocorrelation and reduce the effects of sampling bias. After excluding species with fewer than 10 valid records, a final dataset comprising 224 species across 43,213 occurrence points was obtained, including 109 mammal, 28 amphibian and 87 reptile.</w:t>
      </w:r>
      <w:r>
        <w:rPr>
          <w:rFonts w:ascii="Times New Roman" w:hAnsi="Times New Roman"/>
          <w:sz w:val="24"/>
          <w:szCs w:val="24"/>
        </w:rPr>
        <w:t xml:space="preserve"> </w:t>
      </w:r>
      <w:r>
        <w:rPr>
          <w:rFonts w:ascii="Times New Roman" w:hAnsi="Times New Roman" w:eastAsiaTheme="minorEastAsia"/>
          <w:sz w:val="24"/>
          <w:szCs w:val="24"/>
          <w:lang w:eastAsia="zh-CN"/>
        </w:rPr>
        <w:t>Drawing on relevant studies of suitable habitats</w:t>
      </w:r>
      <w:r>
        <w:rPr>
          <w:rFonts w:ascii="Times New Roman" w:hAnsi="Times New Roman" w:eastAsiaTheme="minorEastAsia"/>
          <w:sz w:val="24"/>
          <w:szCs w:val="24"/>
          <w:lang w:eastAsia="zh-CN"/>
        </w:rPr>
        <w:fldChar w:fldCharType="begin"/>
      </w:r>
      <w:r>
        <w:rPr>
          <w:rFonts w:ascii="Times New Roman" w:hAnsi="Times New Roman" w:eastAsiaTheme="minorEastAsia"/>
          <w:sz w:val="24"/>
          <w:szCs w:val="24"/>
          <w:lang w:eastAsia="zh-CN"/>
        </w:rPr>
        <w:instrText xml:space="preserve"> ADDIN ZOTERO_ITEM CSL_CITATION {"citationID":"iFEaAW7r","properties":{"formattedCitation":"(Jin et al., 2016)","plainCitation":"(Jin et al., 2016)","noteIndex":0},"citationItems":[{"id":35,"uris":["http://zotero.org/users/17543282/items/AHX8PZEN"],"itemData":{"id":35,"type":"article-journal","abstract":"准确可靠地识别国家重点保护陆生脊椎动物物种的优先保护区，是生物多样性保护的热点问题之一。采用随机森林（random forests）模型，基于12个环境变量，对中国263种国家重点保护陆生脊椎动物建模，并预测各个物种在背景点的适生概率，迭加计算得到国家重点保护陆生脊椎动物物种的生境适宜性指数。此外，基于对生境适宜性指数的空间自相关分析，识别和确定国家重点保护陆生脊椎动物物种优先保护区，并对优先保护区目前的被保护情况进行分析。结果表明，国家重点保护陆生脊椎动物物种的优先保护区的面积为103.16万km&lt;sup&gt;2&lt;/sup&gt;，约占我国国土面积的10.90%。优先保护区主要分布在我国的西部地区，包括西南地区的秦岭-大巴山山区、云南省与印度及缅甸的交界地区、武陵山山区、喜马拉雅山-横断山脉山区、阿尔泰山脉山区、天山山脉山区、昆仑山山脉山区；东北的大、小兴安岭、东北-华南沿海地区及长江中下游地区有少量分布。优先保护区中被保护的面积为50.40万km&lt;sup&gt;2&lt;/sup&gt;，占优先保护区总面积的48.86%，保护率偏低，未被充分保护。利用系统聚类分析，将未被保护的优先保护区划分成3种优先保护顺序，以期为相关部门的决策提供科学依据，更好地保护生物多样性。","container-title":"Acta Ecologica Sinica","DOI":"10.5846/stxb201512082454","issue":"23","language":"cn","license":"http://creativecommons.org/licenses/by/3.0/","note":"DOI: 10.5846/stxb201512082454","page":"7702-7712","publisher":"Acta Ecologica Sinica","title":"Identifying the priority conservation areas for key national protected terrestrial vertebrate species based on a random forest model in China","volume":"36","author":[{"family":"Jin","given":"Yu"},{"family":"Zhou","given":"Kexin"},{"family":"Gao","given":"Jixi"},{"family":"Mu","given":"Shaojie"},{"family":"Zhang","given":"Xiaohua"}],"issued":{"date-parts":[["2016",12,25]]}}}],"schema":"https://github.com/citation-style-language/schema/raw/master/csl-citation.json"} </w:instrText>
      </w:r>
      <w:r>
        <w:rPr>
          <w:rFonts w:ascii="Times New Roman" w:hAnsi="Times New Roman" w:eastAsiaTheme="minorEastAsia"/>
          <w:sz w:val="24"/>
          <w:szCs w:val="24"/>
          <w:lang w:eastAsia="zh-CN"/>
        </w:rPr>
        <w:fldChar w:fldCharType="separate"/>
      </w:r>
      <w:r>
        <w:rPr>
          <w:rFonts w:ascii="Times New Roman" w:hAnsi="Times New Roman" w:eastAsiaTheme="minorEastAsia"/>
          <w:sz w:val="24"/>
        </w:rPr>
        <w:t>(Jin et al., 2016)</w:t>
      </w:r>
      <w:r>
        <w:rPr>
          <w:rFonts w:ascii="Times New Roman" w:hAnsi="Times New Roman" w:eastAsiaTheme="minorEastAsia"/>
          <w:sz w:val="24"/>
          <w:szCs w:val="24"/>
          <w:lang w:eastAsia="zh-CN"/>
        </w:rPr>
        <w:fldChar w:fldCharType="end"/>
      </w:r>
      <w:r>
        <w:rPr>
          <w:rFonts w:ascii="Times New Roman" w:hAnsi="Times New Roman" w:eastAsiaTheme="minorEastAsia"/>
          <w:sz w:val="24"/>
          <w:szCs w:val="24"/>
          <w:lang w:eastAsia="zh-CN"/>
        </w:rPr>
        <w:t>, taking regional characteristics and fire-relevant factors into account, this study constructed a variable system comprising 30 impact factors across three dimensions: climate, environment and human disturbance.</w:t>
      </w:r>
      <w:r>
        <w:rPr>
          <w:rFonts w:ascii="Times New Roman" w:hAnsi="Times New Roman"/>
          <w:sz w:val="24"/>
          <w:szCs w:val="24"/>
        </w:rPr>
        <w:t xml:space="preserve"> </w:t>
      </w:r>
      <w:r>
        <w:rPr>
          <w:rFonts w:ascii="Times New Roman" w:hAnsi="Times New Roman" w:eastAsiaTheme="minorEastAsia"/>
          <w:sz w:val="24"/>
          <w:szCs w:val="24"/>
          <w:lang w:eastAsia="zh-CN"/>
        </w:rPr>
        <w:t xml:space="preserve">Of these, 19 bioclimatic variables were sourced from the WorldClim 2.0 platform. Environmental factors included the Aridity Index (AI), Elevation, Slope, Land Use and Land Cover (LULC), Fractional Vegetation Cover (FVC), Normalized Difference Water Index (NDWI), Normalized Difference Vegetation Index (NDVI), Aspect, Topographic Wetness Index (TWI) and Distance to water, the human disturbance factor is represented by Distance to roads. To avoid overfitting of the model caused by multicollinearity among the impact factors, variable correlation tests were conducted using SDMTools (correlation results are shown in Appendix </w:t>
      </w:r>
      <w:r>
        <w:rPr>
          <w:rFonts w:hint="eastAsia" w:ascii="Times New Roman" w:hAnsi="Times New Roman" w:eastAsiaTheme="minorEastAsia"/>
          <w:sz w:val="24"/>
          <w:szCs w:val="24"/>
          <w:lang w:eastAsia="zh-CN"/>
        </w:rPr>
        <w:t>A.</w:t>
      </w:r>
      <w:r>
        <w:rPr>
          <w:rFonts w:ascii="Times New Roman" w:hAnsi="Times New Roman" w:eastAsiaTheme="minorEastAsia"/>
          <w:sz w:val="24"/>
          <w:szCs w:val="24"/>
          <w:lang w:eastAsia="zh-CN"/>
        </w:rPr>
        <w:t xml:space="preserve">1), variables with a correlation coefficient |r| ≥ 0.8 were excluded. Ultimately, we utilized a total of 16 impact factors. Impact factors, their spatial resolution and sources are shown in Table 2, whilst data processing is detailed in Appendix </w:t>
      </w:r>
      <w:r>
        <w:rPr>
          <w:rFonts w:hint="eastAsia" w:ascii="Times New Roman" w:hAnsi="Times New Roman" w:eastAsiaTheme="minorEastAsia"/>
          <w:sz w:val="24"/>
          <w:szCs w:val="24"/>
          <w:lang w:eastAsia="zh-CN"/>
        </w:rPr>
        <w:t>A.</w:t>
      </w:r>
      <w:r>
        <w:rPr>
          <w:rFonts w:ascii="Times New Roman" w:hAnsi="Times New Roman" w:eastAsiaTheme="minorEastAsia"/>
          <w:sz w:val="24"/>
          <w:szCs w:val="24"/>
          <w:lang w:eastAsia="zh-CN"/>
        </w:rPr>
        <w:t>2.</w:t>
      </w:r>
    </w:p>
    <w:p w14:paraId="777E3AD1">
      <w:pPr>
        <w:pStyle w:val="33"/>
        <w:spacing w:line="240" w:lineRule="auto"/>
        <w:ind w:left="0" w:firstLine="0"/>
        <w:jc w:val="center"/>
        <w:rPr>
          <w:rFonts w:ascii="Times New Roman" w:hAnsi="Times New Roman" w:eastAsiaTheme="minorEastAsia"/>
          <w:sz w:val="24"/>
          <w:szCs w:val="24"/>
          <w:lang w:eastAsia="zh-CN"/>
        </w:rPr>
      </w:pPr>
      <w:r>
        <w:rPr>
          <w:rFonts w:ascii="Times New Roman" w:hAnsi="Times New Roman" w:eastAsiaTheme="minorEastAsia"/>
          <w:sz w:val="24"/>
          <w:szCs w:val="24"/>
          <w:lang w:eastAsia="zh-CN"/>
        </w:rPr>
        <w:t>Table 2. Impact factors</w:t>
      </w:r>
    </w:p>
    <w:tbl>
      <w:tblPr>
        <w:tblStyle w:val="20"/>
        <w:tblW w:w="1034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70"/>
        <w:gridCol w:w="1431"/>
        <w:gridCol w:w="1127"/>
        <w:gridCol w:w="6554"/>
      </w:tblGrid>
      <w:tr w14:paraId="70B10E26">
        <w:tc>
          <w:tcPr>
            <w:tcW w:w="1701" w:type="dxa"/>
            <w:tcBorders>
              <w:top w:val="single" w:color="auto" w:sz="12" w:space="0"/>
              <w:bottom w:val="single" w:color="auto" w:sz="6" w:space="0"/>
            </w:tcBorders>
            <w:vAlign w:val="center"/>
          </w:tcPr>
          <w:p w14:paraId="7A067328">
            <w:pPr>
              <w:pStyle w:val="33"/>
              <w:spacing w:line="240" w:lineRule="auto"/>
              <w:ind w:left="0" w:firstLine="0"/>
              <w:jc w:val="center"/>
              <w:rPr>
                <w:rFonts w:ascii="Times New Roman" w:hAnsi="Times New Roman" w:eastAsiaTheme="minorEastAsia"/>
                <w:sz w:val="24"/>
                <w:szCs w:val="24"/>
                <w:lang w:eastAsia="zh-CN"/>
              </w:rPr>
            </w:pPr>
            <w:r>
              <w:rPr>
                <w:rFonts w:ascii="Times New Roman" w:hAnsi="Times New Roman" w:eastAsiaTheme="minorEastAsia"/>
                <w:sz w:val="24"/>
                <w:szCs w:val="24"/>
                <w:lang w:eastAsia="zh-CN"/>
              </w:rPr>
              <w:t>variable category</w:t>
            </w:r>
          </w:p>
        </w:tc>
        <w:tc>
          <w:tcPr>
            <w:tcW w:w="3686" w:type="dxa"/>
            <w:tcBorders>
              <w:top w:val="single" w:color="auto" w:sz="12" w:space="0"/>
              <w:bottom w:val="single" w:color="auto" w:sz="6" w:space="0"/>
            </w:tcBorders>
            <w:vAlign w:val="center"/>
          </w:tcPr>
          <w:p w14:paraId="647CC7E8">
            <w:pPr>
              <w:pStyle w:val="33"/>
              <w:spacing w:line="240" w:lineRule="auto"/>
              <w:ind w:left="0" w:firstLine="0"/>
              <w:jc w:val="center"/>
              <w:rPr>
                <w:rFonts w:ascii="Times New Roman" w:hAnsi="Times New Roman" w:eastAsiaTheme="minorEastAsia"/>
                <w:sz w:val="24"/>
                <w:szCs w:val="24"/>
                <w:lang w:eastAsia="zh-CN"/>
              </w:rPr>
            </w:pPr>
            <w:r>
              <w:rPr>
                <w:rFonts w:ascii="Times New Roman" w:hAnsi="Times New Roman" w:eastAsiaTheme="minorEastAsia"/>
                <w:sz w:val="24"/>
                <w:szCs w:val="24"/>
                <w:lang w:eastAsia="zh-CN"/>
              </w:rPr>
              <w:t>variable name</w:t>
            </w:r>
          </w:p>
        </w:tc>
        <w:tc>
          <w:tcPr>
            <w:tcW w:w="1276" w:type="dxa"/>
            <w:tcBorders>
              <w:top w:val="single" w:color="auto" w:sz="12" w:space="0"/>
              <w:bottom w:val="single" w:color="auto" w:sz="6" w:space="0"/>
            </w:tcBorders>
            <w:vAlign w:val="center"/>
          </w:tcPr>
          <w:p w14:paraId="220DEB38">
            <w:pPr>
              <w:pStyle w:val="33"/>
              <w:spacing w:line="240" w:lineRule="auto"/>
              <w:ind w:left="0" w:firstLine="0"/>
              <w:jc w:val="center"/>
              <w:rPr>
                <w:rFonts w:ascii="Times New Roman" w:hAnsi="Times New Roman" w:eastAsiaTheme="minorEastAsia"/>
                <w:sz w:val="24"/>
                <w:szCs w:val="24"/>
                <w:lang w:eastAsia="zh-CN"/>
              </w:rPr>
            </w:pPr>
            <w:r>
              <w:rPr>
                <w:rFonts w:ascii="Times New Roman" w:hAnsi="Times New Roman" w:eastAsiaTheme="minorEastAsia"/>
                <w:sz w:val="24"/>
                <w:szCs w:val="24"/>
                <w:lang w:eastAsia="zh-CN"/>
              </w:rPr>
              <w:t>resolution</w:t>
            </w:r>
          </w:p>
        </w:tc>
        <w:tc>
          <w:tcPr>
            <w:tcW w:w="3685" w:type="dxa"/>
            <w:tcBorders>
              <w:top w:val="single" w:color="auto" w:sz="12" w:space="0"/>
              <w:bottom w:val="single" w:color="auto" w:sz="6" w:space="0"/>
            </w:tcBorders>
            <w:vAlign w:val="center"/>
          </w:tcPr>
          <w:p w14:paraId="0B059851">
            <w:pPr>
              <w:pStyle w:val="33"/>
              <w:spacing w:line="240" w:lineRule="auto"/>
              <w:ind w:left="0" w:firstLine="0"/>
              <w:jc w:val="center"/>
              <w:rPr>
                <w:rFonts w:ascii="Times New Roman" w:hAnsi="Times New Roman" w:eastAsiaTheme="minorEastAsia"/>
                <w:sz w:val="24"/>
                <w:szCs w:val="24"/>
                <w:lang w:eastAsia="zh-CN"/>
              </w:rPr>
            </w:pPr>
            <w:r>
              <w:rPr>
                <w:rFonts w:ascii="Times New Roman" w:hAnsi="Times New Roman" w:eastAsiaTheme="minorEastAsia"/>
                <w:sz w:val="24"/>
                <w:szCs w:val="24"/>
                <w:lang w:eastAsia="zh-CN"/>
              </w:rPr>
              <w:t>source</w:t>
            </w:r>
          </w:p>
        </w:tc>
      </w:tr>
      <w:tr w14:paraId="17E00156">
        <w:tc>
          <w:tcPr>
            <w:tcW w:w="1701" w:type="dxa"/>
            <w:vMerge w:val="restart"/>
            <w:tcBorders>
              <w:top w:val="single" w:color="auto" w:sz="6" w:space="0"/>
            </w:tcBorders>
            <w:vAlign w:val="center"/>
          </w:tcPr>
          <w:p w14:paraId="36E9EC96">
            <w:pPr>
              <w:pStyle w:val="33"/>
              <w:spacing w:line="240" w:lineRule="auto"/>
              <w:ind w:left="0" w:firstLine="0"/>
              <w:jc w:val="center"/>
              <w:rPr>
                <w:rFonts w:ascii="Times New Roman" w:hAnsi="Times New Roman" w:eastAsiaTheme="minorEastAsia"/>
                <w:sz w:val="24"/>
                <w:szCs w:val="24"/>
                <w:lang w:eastAsia="zh-CN"/>
              </w:rPr>
            </w:pPr>
            <w:r>
              <w:rPr>
                <w:rFonts w:ascii="Times New Roman" w:hAnsi="Times New Roman" w:eastAsiaTheme="minorEastAsia"/>
                <w:sz w:val="24"/>
                <w:szCs w:val="24"/>
                <w:lang w:eastAsia="zh-CN"/>
              </w:rPr>
              <w:t>bioclimatic variables</w:t>
            </w:r>
          </w:p>
        </w:tc>
        <w:tc>
          <w:tcPr>
            <w:tcW w:w="3686" w:type="dxa"/>
            <w:tcBorders>
              <w:top w:val="single" w:color="auto" w:sz="6" w:space="0"/>
            </w:tcBorders>
            <w:vAlign w:val="center"/>
          </w:tcPr>
          <w:p w14:paraId="4725F73B">
            <w:pPr>
              <w:pStyle w:val="33"/>
              <w:spacing w:line="240" w:lineRule="auto"/>
              <w:ind w:left="0" w:firstLine="0"/>
              <w:jc w:val="center"/>
              <w:rPr>
                <w:rFonts w:ascii="Times New Roman" w:hAnsi="Times New Roman" w:eastAsiaTheme="minorEastAsia"/>
                <w:sz w:val="24"/>
                <w:szCs w:val="24"/>
                <w:lang w:eastAsia="zh-CN"/>
              </w:rPr>
            </w:pPr>
            <w:r>
              <w:rPr>
                <w:rFonts w:ascii="Times New Roman" w:hAnsi="Times New Roman" w:eastAsiaTheme="minorEastAsia"/>
                <w:sz w:val="24"/>
                <w:szCs w:val="24"/>
                <w:lang w:eastAsia="zh-CN"/>
              </w:rPr>
              <w:t>Annual mean temperature</w:t>
            </w:r>
          </w:p>
        </w:tc>
        <w:tc>
          <w:tcPr>
            <w:tcW w:w="1276" w:type="dxa"/>
            <w:vMerge w:val="restart"/>
            <w:tcBorders>
              <w:top w:val="single" w:color="auto" w:sz="6" w:space="0"/>
            </w:tcBorders>
            <w:vAlign w:val="center"/>
          </w:tcPr>
          <w:p w14:paraId="168A69E1">
            <w:pPr>
              <w:pStyle w:val="33"/>
              <w:spacing w:line="240" w:lineRule="auto"/>
              <w:ind w:left="0" w:firstLine="0"/>
              <w:jc w:val="center"/>
              <w:rPr>
                <w:rFonts w:ascii="Times New Roman" w:hAnsi="Times New Roman" w:eastAsiaTheme="minorEastAsia"/>
                <w:sz w:val="24"/>
                <w:szCs w:val="24"/>
                <w:lang w:eastAsia="zh-CN"/>
              </w:rPr>
            </w:pPr>
            <w:r>
              <w:rPr>
                <w:rFonts w:ascii="Times New Roman" w:hAnsi="Times New Roman" w:eastAsiaTheme="minorEastAsia"/>
                <w:sz w:val="24"/>
                <w:szCs w:val="24"/>
                <w:lang w:eastAsia="zh-CN"/>
              </w:rPr>
              <w:t>~1km</w:t>
            </w:r>
          </w:p>
        </w:tc>
        <w:tc>
          <w:tcPr>
            <w:tcW w:w="3685" w:type="dxa"/>
            <w:vMerge w:val="restart"/>
            <w:tcBorders>
              <w:top w:val="single" w:color="auto" w:sz="6" w:space="0"/>
            </w:tcBorders>
            <w:vAlign w:val="center"/>
          </w:tcPr>
          <w:p w14:paraId="570C8F3D">
            <w:pPr>
              <w:pStyle w:val="33"/>
              <w:spacing w:line="240" w:lineRule="auto"/>
              <w:ind w:left="0" w:firstLine="0"/>
              <w:jc w:val="center"/>
              <w:rPr>
                <w:rFonts w:ascii="Times New Roman" w:hAnsi="Times New Roman" w:eastAsiaTheme="minorEastAsia"/>
                <w:sz w:val="24"/>
                <w:szCs w:val="24"/>
                <w:lang w:eastAsia="zh-CN"/>
              </w:rPr>
            </w:pPr>
            <w:r>
              <w:rPr>
                <w:rFonts w:ascii="Times New Roman" w:hAnsi="Times New Roman" w:eastAsiaTheme="minorEastAsia"/>
                <w:sz w:val="24"/>
                <w:szCs w:val="24"/>
                <w:lang w:eastAsia="zh-CN"/>
              </w:rPr>
              <w:t>https://worldclim.org/</w:t>
            </w:r>
          </w:p>
        </w:tc>
      </w:tr>
      <w:tr w14:paraId="402FBC9A">
        <w:tc>
          <w:tcPr>
            <w:tcW w:w="1701" w:type="dxa"/>
            <w:vMerge w:val="continue"/>
            <w:vAlign w:val="center"/>
          </w:tcPr>
          <w:p w14:paraId="0BBD1B74">
            <w:pPr>
              <w:pStyle w:val="33"/>
              <w:spacing w:line="240" w:lineRule="auto"/>
              <w:ind w:left="0" w:firstLine="0"/>
              <w:jc w:val="center"/>
              <w:rPr>
                <w:rFonts w:ascii="Times New Roman" w:hAnsi="Times New Roman" w:eastAsiaTheme="minorEastAsia"/>
                <w:sz w:val="24"/>
                <w:szCs w:val="24"/>
                <w:lang w:eastAsia="zh-CN"/>
              </w:rPr>
            </w:pPr>
          </w:p>
        </w:tc>
        <w:tc>
          <w:tcPr>
            <w:tcW w:w="3686" w:type="dxa"/>
            <w:vAlign w:val="center"/>
          </w:tcPr>
          <w:p w14:paraId="70D2E25E">
            <w:pPr>
              <w:pStyle w:val="33"/>
              <w:spacing w:line="240" w:lineRule="auto"/>
              <w:ind w:left="0" w:firstLine="0"/>
              <w:jc w:val="center"/>
              <w:rPr>
                <w:rFonts w:ascii="Times New Roman" w:hAnsi="Times New Roman" w:eastAsiaTheme="minorEastAsia"/>
                <w:sz w:val="24"/>
                <w:szCs w:val="24"/>
                <w:lang w:eastAsia="zh-CN"/>
              </w:rPr>
            </w:pPr>
            <w:r>
              <w:rPr>
                <w:rFonts w:ascii="Times New Roman" w:hAnsi="Times New Roman" w:eastAsiaTheme="minorEastAsia"/>
                <w:sz w:val="24"/>
                <w:szCs w:val="24"/>
                <w:lang w:eastAsia="zh-CN"/>
              </w:rPr>
              <w:t>Isothermality</w:t>
            </w:r>
          </w:p>
        </w:tc>
        <w:tc>
          <w:tcPr>
            <w:tcW w:w="1276" w:type="dxa"/>
            <w:vMerge w:val="continue"/>
            <w:vAlign w:val="center"/>
          </w:tcPr>
          <w:p w14:paraId="654316F3">
            <w:pPr>
              <w:pStyle w:val="33"/>
              <w:spacing w:line="240" w:lineRule="auto"/>
              <w:ind w:left="0" w:firstLine="0"/>
              <w:jc w:val="center"/>
              <w:rPr>
                <w:rFonts w:ascii="Times New Roman" w:hAnsi="Times New Roman" w:eastAsiaTheme="minorEastAsia"/>
                <w:sz w:val="24"/>
                <w:szCs w:val="24"/>
                <w:lang w:eastAsia="zh-CN"/>
              </w:rPr>
            </w:pPr>
          </w:p>
        </w:tc>
        <w:tc>
          <w:tcPr>
            <w:tcW w:w="3685" w:type="dxa"/>
            <w:vMerge w:val="continue"/>
            <w:vAlign w:val="center"/>
          </w:tcPr>
          <w:p w14:paraId="59D44A35">
            <w:pPr>
              <w:pStyle w:val="33"/>
              <w:spacing w:line="240" w:lineRule="auto"/>
              <w:ind w:left="0" w:firstLine="0"/>
              <w:jc w:val="center"/>
              <w:rPr>
                <w:rFonts w:ascii="Times New Roman" w:hAnsi="Times New Roman" w:eastAsiaTheme="minorEastAsia"/>
                <w:sz w:val="24"/>
                <w:szCs w:val="24"/>
                <w:lang w:eastAsia="zh-CN"/>
              </w:rPr>
            </w:pPr>
          </w:p>
        </w:tc>
      </w:tr>
      <w:tr w14:paraId="403A96C0">
        <w:tc>
          <w:tcPr>
            <w:tcW w:w="1701" w:type="dxa"/>
            <w:vMerge w:val="continue"/>
            <w:vAlign w:val="center"/>
          </w:tcPr>
          <w:p w14:paraId="11287894">
            <w:pPr>
              <w:pStyle w:val="33"/>
              <w:spacing w:line="240" w:lineRule="auto"/>
              <w:ind w:left="0" w:firstLine="0"/>
              <w:jc w:val="center"/>
              <w:rPr>
                <w:rFonts w:ascii="Times New Roman" w:hAnsi="Times New Roman" w:eastAsiaTheme="minorEastAsia"/>
                <w:sz w:val="24"/>
                <w:szCs w:val="24"/>
                <w:lang w:eastAsia="zh-CN"/>
              </w:rPr>
            </w:pPr>
          </w:p>
        </w:tc>
        <w:tc>
          <w:tcPr>
            <w:tcW w:w="3686" w:type="dxa"/>
            <w:vAlign w:val="center"/>
          </w:tcPr>
          <w:p w14:paraId="58A67232">
            <w:pPr>
              <w:pStyle w:val="33"/>
              <w:spacing w:line="240" w:lineRule="auto"/>
              <w:ind w:left="0" w:firstLine="0"/>
              <w:jc w:val="center"/>
              <w:rPr>
                <w:rFonts w:ascii="Times New Roman" w:hAnsi="Times New Roman" w:eastAsiaTheme="minorEastAsia"/>
                <w:sz w:val="24"/>
                <w:szCs w:val="24"/>
                <w:lang w:eastAsia="zh-CN"/>
              </w:rPr>
            </w:pPr>
            <w:r>
              <w:rPr>
                <w:rFonts w:ascii="Times New Roman" w:hAnsi="Times New Roman" w:eastAsiaTheme="minorEastAsia"/>
                <w:sz w:val="24"/>
                <w:szCs w:val="24"/>
                <w:lang w:eastAsia="zh-CN"/>
              </w:rPr>
              <w:t>Maximum temperature of warmest month</w:t>
            </w:r>
          </w:p>
        </w:tc>
        <w:tc>
          <w:tcPr>
            <w:tcW w:w="1276" w:type="dxa"/>
            <w:vMerge w:val="continue"/>
            <w:vAlign w:val="center"/>
          </w:tcPr>
          <w:p w14:paraId="0477DD5B">
            <w:pPr>
              <w:pStyle w:val="33"/>
              <w:spacing w:line="240" w:lineRule="auto"/>
              <w:ind w:left="0" w:firstLine="0"/>
              <w:jc w:val="center"/>
              <w:rPr>
                <w:rFonts w:ascii="Times New Roman" w:hAnsi="Times New Roman" w:eastAsiaTheme="minorEastAsia"/>
                <w:sz w:val="24"/>
                <w:szCs w:val="24"/>
                <w:lang w:eastAsia="zh-CN"/>
              </w:rPr>
            </w:pPr>
          </w:p>
        </w:tc>
        <w:tc>
          <w:tcPr>
            <w:tcW w:w="3685" w:type="dxa"/>
            <w:vMerge w:val="continue"/>
            <w:vAlign w:val="center"/>
          </w:tcPr>
          <w:p w14:paraId="0573A2D6">
            <w:pPr>
              <w:pStyle w:val="33"/>
              <w:spacing w:line="240" w:lineRule="auto"/>
              <w:ind w:left="0" w:firstLine="0"/>
              <w:jc w:val="center"/>
              <w:rPr>
                <w:rFonts w:ascii="Times New Roman" w:hAnsi="Times New Roman" w:eastAsiaTheme="minorEastAsia"/>
                <w:sz w:val="24"/>
                <w:szCs w:val="24"/>
                <w:lang w:eastAsia="zh-CN"/>
              </w:rPr>
            </w:pPr>
          </w:p>
        </w:tc>
      </w:tr>
      <w:tr w14:paraId="05EA17AF">
        <w:tc>
          <w:tcPr>
            <w:tcW w:w="1701" w:type="dxa"/>
            <w:vMerge w:val="continue"/>
            <w:vAlign w:val="center"/>
          </w:tcPr>
          <w:p w14:paraId="7415ADE9">
            <w:pPr>
              <w:pStyle w:val="33"/>
              <w:spacing w:line="240" w:lineRule="auto"/>
              <w:ind w:left="0" w:firstLine="0"/>
              <w:jc w:val="center"/>
              <w:rPr>
                <w:rFonts w:ascii="Times New Roman" w:hAnsi="Times New Roman" w:eastAsiaTheme="minorEastAsia"/>
                <w:sz w:val="24"/>
                <w:szCs w:val="24"/>
                <w:lang w:eastAsia="zh-CN"/>
              </w:rPr>
            </w:pPr>
          </w:p>
        </w:tc>
        <w:tc>
          <w:tcPr>
            <w:tcW w:w="3686" w:type="dxa"/>
            <w:vAlign w:val="center"/>
          </w:tcPr>
          <w:p w14:paraId="7EBDC08C">
            <w:pPr>
              <w:pStyle w:val="33"/>
              <w:spacing w:line="240" w:lineRule="auto"/>
              <w:ind w:left="0" w:firstLine="0"/>
              <w:jc w:val="center"/>
              <w:rPr>
                <w:rFonts w:ascii="Times New Roman" w:hAnsi="Times New Roman" w:eastAsiaTheme="minorEastAsia"/>
                <w:sz w:val="24"/>
                <w:szCs w:val="24"/>
                <w:lang w:eastAsia="zh-CN"/>
              </w:rPr>
            </w:pPr>
            <w:r>
              <w:rPr>
                <w:rFonts w:ascii="Times New Roman" w:hAnsi="Times New Roman" w:eastAsiaTheme="minorEastAsia"/>
                <w:sz w:val="24"/>
                <w:szCs w:val="24"/>
                <w:lang w:eastAsia="zh-CN"/>
              </w:rPr>
              <w:t>Mean temperature of driest quarter</w:t>
            </w:r>
          </w:p>
        </w:tc>
        <w:tc>
          <w:tcPr>
            <w:tcW w:w="1276" w:type="dxa"/>
            <w:vMerge w:val="continue"/>
            <w:vAlign w:val="center"/>
          </w:tcPr>
          <w:p w14:paraId="5090B345">
            <w:pPr>
              <w:pStyle w:val="33"/>
              <w:spacing w:line="240" w:lineRule="auto"/>
              <w:ind w:left="0" w:firstLine="0"/>
              <w:jc w:val="center"/>
              <w:rPr>
                <w:rFonts w:ascii="Times New Roman" w:hAnsi="Times New Roman" w:eastAsiaTheme="minorEastAsia"/>
                <w:sz w:val="24"/>
                <w:szCs w:val="24"/>
                <w:lang w:eastAsia="zh-CN"/>
              </w:rPr>
            </w:pPr>
          </w:p>
        </w:tc>
        <w:tc>
          <w:tcPr>
            <w:tcW w:w="3685" w:type="dxa"/>
            <w:vMerge w:val="continue"/>
            <w:vAlign w:val="center"/>
          </w:tcPr>
          <w:p w14:paraId="5A3A3402">
            <w:pPr>
              <w:pStyle w:val="33"/>
              <w:spacing w:line="240" w:lineRule="auto"/>
              <w:ind w:left="0" w:firstLine="0"/>
              <w:jc w:val="center"/>
              <w:rPr>
                <w:rFonts w:ascii="Times New Roman" w:hAnsi="Times New Roman" w:eastAsiaTheme="minorEastAsia"/>
                <w:sz w:val="24"/>
                <w:szCs w:val="24"/>
                <w:lang w:eastAsia="zh-CN"/>
              </w:rPr>
            </w:pPr>
          </w:p>
        </w:tc>
      </w:tr>
      <w:tr w14:paraId="125FD579">
        <w:tc>
          <w:tcPr>
            <w:tcW w:w="1701" w:type="dxa"/>
            <w:vMerge w:val="continue"/>
            <w:vAlign w:val="center"/>
          </w:tcPr>
          <w:p w14:paraId="4F51CC54">
            <w:pPr>
              <w:pStyle w:val="33"/>
              <w:spacing w:line="240" w:lineRule="auto"/>
              <w:ind w:left="0" w:firstLine="0"/>
              <w:jc w:val="center"/>
              <w:rPr>
                <w:rFonts w:ascii="Times New Roman" w:hAnsi="Times New Roman" w:eastAsiaTheme="minorEastAsia"/>
                <w:sz w:val="24"/>
                <w:szCs w:val="24"/>
                <w:lang w:eastAsia="zh-CN"/>
              </w:rPr>
            </w:pPr>
          </w:p>
        </w:tc>
        <w:tc>
          <w:tcPr>
            <w:tcW w:w="3686" w:type="dxa"/>
            <w:vAlign w:val="center"/>
          </w:tcPr>
          <w:p w14:paraId="101899B2">
            <w:pPr>
              <w:pStyle w:val="33"/>
              <w:spacing w:line="240" w:lineRule="auto"/>
              <w:ind w:left="0" w:firstLine="0"/>
              <w:jc w:val="center"/>
              <w:rPr>
                <w:rFonts w:ascii="Times New Roman" w:hAnsi="Times New Roman" w:eastAsiaTheme="minorEastAsia"/>
                <w:sz w:val="24"/>
                <w:szCs w:val="24"/>
                <w:lang w:eastAsia="zh-CN"/>
              </w:rPr>
            </w:pPr>
            <w:r>
              <w:rPr>
                <w:rFonts w:ascii="Times New Roman" w:hAnsi="Times New Roman" w:eastAsiaTheme="minorEastAsia"/>
                <w:sz w:val="24"/>
                <w:szCs w:val="24"/>
                <w:lang w:eastAsia="zh-CN"/>
              </w:rPr>
              <w:t>Annual precipitation</w:t>
            </w:r>
          </w:p>
        </w:tc>
        <w:tc>
          <w:tcPr>
            <w:tcW w:w="1276" w:type="dxa"/>
            <w:vMerge w:val="continue"/>
            <w:vAlign w:val="center"/>
          </w:tcPr>
          <w:p w14:paraId="1ACCF9B7">
            <w:pPr>
              <w:pStyle w:val="33"/>
              <w:spacing w:line="240" w:lineRule="auto"/>
              <w:ind w:left="0" w:firstLine="0"/>
              <w:jc w:val="center"/>
              <w:rPr>
                <w:rFonts w:ascii="Times New Roman" w:hAnsi="Times New Roman" w:eastAsiaTheme="minorEastAsia"/>
                <w:sz w:val="24"/>
                <w:szCs w:val="24"/>
                <w:lang w:eastAsia="zh-CN"/>
              </w:rPr>
            </w:pPr>
          </w:p>
        </w:tc>
        <w:tc>
          <w:tcPr>
            <w:tcW w:w="3685" w:type="dxa"/>
            <w:vMerge w:val="continue"/>
            <w:vAlign w:val="center"/>
          </w:tcPr>
          <w:p w14:paraId="44948FDC">
            <w:pPr>
              <w:pStyle w:val="33"/>
              <w:spacing w:line="240" w:lineRule="auto"/>
              <w:ind w:left="0" w:firstLine="0"/>
              <w:jc w:val="center"/>
              <w:rPr>
                <w:rFonts w:ascii="Times New Roman" w:hAnsi="Times New Roman" w:eastAsiaTheme="minorEastAsia"/>
                <w:sz w:val="24"/>
                <w:szCs w:val="24"/>
                <w:lang w:eastAsia="zh-CN"/>
              </w:rPr>
            </w:pPr>
          </w:p>
        </w:tc>
      </w:tr>
      <w:tr w14:paraId="6BE75C47">
        <w:tc>
          <w:tcPr>
            <w:tcW w:w="1701" w:type="dxa"/>
            <w:vMerge w:val="continue"/>
            <w:vAlign w:val="center"/>
          </w:tcPr>
          <w:p w14:paraId="060A4079">
            <w:pPr>
              <w:pStyle w:val="33"/>
              <w:spacing w:line="240" w:lineRule="auto"/>
              <w:ind w:left="0" w:firstLine="0"/>
              <w:jc w:val="center"/>
              <w:rPr>
                <w:rFonts w:ascii="Times New Roman" w:hAnsi="Times New Roman" w:eastAsiaTheme="minorEastAsia"/>
                <w:sz w:val="24"/>
                <w:szCs w:val="24"/>
                <w:lang w:eastAsia="zh-CN"/>
              </w:rPr>
            </w:pPr>
          </w:p>
        </w:tc>
        <w:tc>
          <w:tcPr>
            <w:tcW w:w="3686" w:type="dxa"/>
            <w:vAlign w:val="center"/>
          </w:tcPr>
          <w:p w14:paraId="525802C6">
            <w:pPr>
              <w:pStyle w:val="33"/>
              <w:spacing w:line="240" w:lineRule="auto"/>
              <w:ind w:left="0" w:firstLine="0"/>
              <w:jc w:val="center"/>
              <w:rPr>
                <w:rFonts w:ascii="Times New Roman" w:hAnsi="Times New Roman" w:eastAsiaTheme="minorEastAsia"/>
                <w:sz w:val="24"/>
                <w:szCs w:val="24"/>
                <w:lang w:eastAsia="zh-CN"/>
              </w:rPr>
            </w:pPr>
            <w:r>
              <w:rPr>
                <w:rFonts w:ascii="Times New Roman" w:hAnsi="Times New Roman" w:eastAsiaTheme="minorEastAsia"/>
                <w:sz w:val="24"/>
                <w:szCs w:val="24"/>
                <w:lang w:eastAsia="zh-CN"/>
              </w:rPr>
              <w:t>Precipitation seasonality</w:t>
            </w:r>
          </w:p>
        </w:tc>
        <w:tc>
          <w:tcPr>
            <w:tcW w:w="1276" w:type="dxa"/>
            <w:vMerge w:val="continue"/>
            <w:vAlign w:val="center"/>
          </w:tcPr>
          <w:p w14:paraId="156F5533">
            <w:pPr>
              <w:pStyle w:val="33"/>
              <w:spacing w:line="240" w:lineRule="auto"/>
              <w:ind w:left="0" w:firstLine="0"/>
              <w:jc w:val="center"/>
              <w:rPr>
                <w:rFonts w:ascii="Times New Roman" w:hAnsi="Times New Roman" w:eastAsiaTheme="minorEastAsia"/>
                <w:sz w:val="24"/>
                <w:szCs w:val="24"/>
                <w:lang w:eastAsia="zh-CN"/>
              </w:rPr>
            </w:pPr>
          </w:p>
        </w:tc>
        <w:tc>
          <w:tcPr>
            <w:tcW w:w="3685" w:type="dxa"/>
            <w:vMerge w:val="continue"/>
            <w:vAlign w:val="center"/>
          </w:tcPr>
          <w:p w14:paraId="6B245540">
            <w:pPr>
              <w:pStyle w:val="33"/>
              <w:spacing w:line="240" w:lineRule="auto"/>
              <w:ind w:left="0" w:firstLine="0"/>
              <w:jc w:val="center"/>
              <w:rPr>
                <w:rFonts w:ascii="Times New Roman" w:hAnsi="Times New Roman" w:eastAsiaTheme="minorEastAsia"/>
                <w:sz w:val="24"/>
                <w:szCs w:val="24"/>
                <w:lang w:eastAsia="zh-CN"/>
              </w:rPr>
            </w:pPr>
          </w:p>
        </w:tc>
      </w:tr>
      <w:tr w14:paraId="17E74C14">
        <w:tc>
          <w:tcPr>
            <w:tcW w:w="1701" w:type="dxa"/>
            <w:vMerge w:val="continue"/>
            <w:vAlign w:val="center"/>
          </w:tcPr>
          <w:p w14:paraId="6F3B17D3">
            <w:pPr>
              <w:pStyle w:val="33"/>
              <w:spacing w:line="240" w:lineRule="auto"/>
              <w:ind w:left="0" w:firstLine="0"/>
              <w:jc w:val="center"/>
              <w:rPr>
                <w:rFonts w:ascii="Times New Roman" w:hAnsi="Times New Roman" w:eastAsiaTheme="minorEastAsia"/>
                <w:sz w:val="24"/>
                <w:szCs w:val="24"/>
                <w:lang w:eastAsia="zh-CN"/>
              </w:rPr>
            </w:pPr>
          </w:p>
        </w:tc>
        <w:tc>
          <w:tcPr>
            <w:tcW w:w="3686" w:type="dxa"/>
            <w:vAlign w:val="center"/>
          </w:tcPr>
          <w:p w14:paraId="490DE71F">
            <w:pPr>
              <w:pStyle w:val="33"/>
              <w:spacing w:line="240" w:lineRule="auto"/>
              <w:ind w:left="0" w:firstLine="0"/>
              <w:jc w:val="center"/>
              <w:rPr>
                <w:rFonts w:ascii="Times New Roman" w:hAnsi="Times New Roman" w:eastAsiaTheme="minorEastAsia"/>
                <w:sz w:val="24"/>
                <w:szCs w:val="24"/>
                <w:lang w:eastAsia="zh-CN"/>
              </w:rPr>
            </w:pPr>
            <w:r>
              <w:rPr>
                <w:rFonts w:ascii="Times New Roman" w:hAnsi="Times New Roman" w:eastAsiaTheme="minorEastAsia"/>
                <w:sz w:val="24"/>
                <w:szCs w:val="24"/>
                <w:lang w:eastAsia="zh-CN"/>
              </w:rPr>
              <w:t>Precipitation of driest quarter</w:t>
            </w:r>
          </w:p>
        </w:tc>
        <w:tc>
          <w:tcPr>
            <w:tcW w:w="1276" w:type="dxa"/>
            <w:vMerge w:val="continue"/>
            <w:vAlign w:val="center"/>
          </w:tcPr>
          <w:p w14:paraId="356878A3">
            <w:pPr>
              <w:pStyle w:val="33"/>
              <w:spacing w:line="240" w:lineRule="auto"/>
              <w:ind w:left="0" w:firstLine="0"/>
              <w:jc w:val="center"/>
              <w:rPr>
                <w:rFonts w:ascii="Times New Roman" w:hAnsi="Times New Roman" w:eastAsiaTheme="minorEastAsia"/>
                <w:sz w:val="24"/>
                <w:szCs w:val="24"/>
                <w:lang w:eastAsia="zh-CN"/>
              </w:rPr>
            </w:pPr>
          </w:p>
        </w:tc>
        <w:tc>
          <w:tcPr>
            <w:tcW w:w="3685" w:type="dxa"/>
            <w:vMerge w:val="continue"/>
            <w:vAlign w:val="center"/>
          </w:tcPr>
          <w:p w14:paraId="03E8E008">
            <w:pPr>
              <w:pStyle w:val="33"/>
              <w:spacing w:line="240" w:lineRule="auto"/>
              <w:ind w:left="0" w:firstLine="0"/>
              <w:jc w:val="center"/>
              <w:rPr>
                <w:rFonts w:ascii="Times New Roman" w:hAnsi="Times New Roman" w:eastAsiaTheme="minorEastAsia"/>
                <w:sz w:val="24"/>
                <w:szCs w:val="24"/>
                <w:lang w:eastAsia="zh-CN"/>
              </w:rPr>
            </w:pPr>
          </w:p>
        </w:tc>
      </w:tr>
      <w:tr w14:paraId="5A600140">
        <w:tc>
          <w:tcPr>
            <w:tcW w:w="1701" w:type="dxa"/>
            <w:vMerge w:val="restart"/>
            <w:vAlign w:val="center"/>
          </w:tcPr>
          <w:p w14:paraId="05A9D5D0">
            <w:pPr>
              <w:pStyle w:val="33"/>
              <w:spacing w:line="240" w:lineRule="auto"/>
              <w:ind w:left="0" w:firstLine="0"/>
              <w:jc w:val="center"/>
              <w:rPr>
                <w:rFonts w:ascii="Times New Roman" w:hAnsi="Times New Roman" w:eastAsiaTheme="minorEastAsia"/>
                <w:sz w:val="24"/>
                <w:szCs w:val="24"/>
                <w:lang w:eastAsia="zh-CN"/>
              </w:rPr>
            </w:pPr>
            <w:r>
              <w:rPr>
                <w:rFonts w:ascii="Times New Roman" w:hAnsi="Times New Roman" w:eastAsiaTheme="minorEastAsia"/>
                <w:sz w:val="24"/>
                <w:szCs w:val="24"/>
                <w:lang w:eastAsia="zh-CN"/>
              </w:rPr>
              <w:t>Environmental Variables</w:t>
            </w:r>
          </w:p>
        </w:tc>
        <w:tc>
          <w:tcPr>
            <w:tcW w:w="3686" w:type="dxa"/>
            <w:vAlign w:val="center"/>
          </w:tcPr>
          <w:p w14:paraId="5F7C3C24">
            <w:pPr>
              <w:pStyle w:val="33"/>
              <w:spacing w:line="240" w:lineRule="auto"/>
              <w:ind w:left="0" w:firstLine="0"/>
              <w:jc w:val="center"/>
              <w:rPr>
                <w:rFonts w:ascii="Times New Roman" w:hAnsi="Times New Roman" w:eastAsiaTheme="minorEastAsia"/>
                <w:sz w:val="24"/>
                <w:szCs w:val="24"/>
                <w:lang w:eastAsia="zh-CN"/>
              </w:rPr>
            </w:pPr>
            <w:r>
              <w:rPr>
                <w:rFonts w:ascii="Times New Roman" w:hAnsi="Times New Roman" w:eastAsiaTheme="minorEastAsia"/>
                <w:sz w:val="24"/>
                <w:szCs w:val="24"/>
                <w:lang w:eastAsia="zh-CN"/>
              </w:rPr>
              <w:t>Aspect</w:t>
            </w:r>
          </w:p>
        </w:tc>
        <w:tc>
          <w:tcPr>
            <w:tcW w:w="1276" w:type="dxa"/>
            <w:vMerge w:val="restart"/>
            <w:vAlign w:val="center"/>
          </w:tcPr>
          <w:p w14:paraId="3C1C1808">
            <w:pPr>
              <w:pStyle w:val="33"/>
              <w:spacing w:line="240" w:lineRule="auto"/>
              <w:ind w:left="0" w:firstLine="0"/>
              <w:jc w:val="center"/>
              <w:rPr>
                <w:rFonts w:ascii="Times New Roman" w:hAnsi="Times New Roman" w:eastAsiaTheme="minorEastAsia"/>
                <w:sz w:val="24"/>
                <w:szCs w:val="24"/>
                <w:lang w:eastAsia="zh-CN"/>
              </w:rPr>
            </w:pPr>
            <w:r>
              <w:rPr>
                <w:rFonts w:ascii="Times New Roman" w:hAnsi="Times New Roman" w:eastAsiaTheme="minorEastAsia"/>
                <w:sz w:val="24"/>
                <w:szCs w:val="24"/>
                <w:lang w:eastAsia="zh-CN"/>
              </w:rPr>
              <w:t>30m</w:t>
            </w:r>
          </w:p>
        </w:tc>
        <w:tc>
          <w:tcPr>
            <w:tcW w:w="3685" w:type="dxa"/>
            <w:vMerge w:val="restart"/>
            <w:vAlign w:val="center"/>
          </w:tcPr>
          <w:p w14:paraId="1CD2B46A">
            <w:pPr>
              <w:pStyle w:val="33"/>
              <w:spacing w:line="240" w:lineRule="auto"/>
              <w:ind w:left="0" w:firstLine="0"/>
              <w:jc w:val="center"/>
              <w:rPr>
                <w:rFonts w:ascii="Times New Roman" w:hAnsi="Times New Roman" w:eastAsiaTheme="minorEastAsia"/>
                <w:sz w:val="24"/>
                <w:szCs w:val="24"/>
                <w:lang w:eastAsia="zh-CN"/>
              </w:rPr>
            </w:pPr>
            <w:r>
              <w:rPr>
                <w:rFonts w:ascii="Times New Roman" w:hAnsi="Times New Roman" w:eastAsiaTheme="minorEastAsia"/>
                <w:sz w:val="24"/>
                <w:szCs w:val="24"/>
                <w:lang w:eastAsia="zh-CN"/>
              </w:rPr>
              <w:t>https://opentopography.org/</w:t>
            </w:r>
          </w:p>
        </w:tc>
      </w:tr>
      <w:tr w14:paraId="276D0F9E">
        <w:tc>
          <w:tcPr>
            <w:tcW w:w="1701" w:type="dxa"/>
            <w:vMerge w:val="continue"/>
            <w:vAlign w:val="center"/>
          </w:tcPr>
          <w:p w14:paraId="7F41FA2A">
            <w:pPr>
              <w:pStyle w:val="33"/>
              <w:spacing w:line="240" w:lineRule="auto"/>
              <w:ind w:left="0" w:firstLine="0"/>
              <w:jc w:val="center"/>
              <w:rPr>
                <w:rFonts w:ascii="Times New Roman" w:hAnsi="Times New Roman" w:eastAsiaTheme="minorEastAsia"/>
                <w:sz w:val="24"/>
                <w:szCs w:val="24"/>
                <w:lang w:eastAsia="zh-CN"/>
              </w:rPr>
            </w:pPr>
          </w:p>
        </w:tc>
        <w:tc>
          <w:tcPr>
            <w:tcW w:w="3686" w:type="dxa"/>
            <w:vAlign w:val="center"/>
          </w:tcPr>
          <w:p w14:paraId="21270855">
            <w:pPr>
              <w:pStyle w:val="33"/>
              <w:spacing w:line="240" w:lineRule="auto"/>
              <w:ind w:left="0" w:firstLine="0"/>
              <w:jc w:val="center"/>
              <w:rPr>
                <w:rFonts w:ascii="Times New Roman" w:hAnsi="Times New Roman" w:eastAsiaTheme="minorEastAsia"/>
                <w:sz w:val="24"/>
                <w:szCs w:val="24"/>
                <w:lang w:eastAsia="zh-CN"/>
              </w:rPr>
            </w:pPr>
            <w:r>
              <w:rPr>
                <w:rFonts w:ascii="Times New Roman" w:hAnsi="Times New Roman" w:eastAsiaTheme="minorEastAsia"/>
                <w:sz w:val="24"/>
                <w:szCs w:val="24"/>
                <w:lang w:eastAsia="zh-CN"/>
              </w:rPr>
              <w:t>Slope</w:t>
            </w:r>
          </w:p>
        </w:tc>
        <w:tc>
          <w:tcPr>
            <w:tcW w:w="1276" w:type="dxa"/>
            <w:vMerge w:val="continue"/>
            <w:vAlign w:val="center"/>
          </w:tcPr>
          <w:p w14:paraId="71776E15">
            <w:pPr>
              <w:pStyle w:val="33"/>
              <w:spacing w:line="240" w:lineRule="auto"/>
              <w:ind w:left="0" w:firstLine="0"/>
              <w:jc w:val="center"/>
              <w:rPr>
                <w:rFonts w:ascii="Times New Roman" w:hAnsi="Times New Roman" w:eastAsiaTheme="minorEastAsia"/>
                <w:sz w:val="24"/>
                <w:szCs w:val="24"/>
                <w:lang w:eastAsia="zh-CN"/>
              </w:rPr>
            </w:pPr>
          </w:p>
        </w:tc>
        <w:tc>
          <w:tcPr>
            <w:tcW w:w="3685" w:type="dxa"/>
            <w:vMerge w:val="continue"/>
            <w:vAlign w:val="center"/>
          </w:tcPr>
          <w:p w14:paraId="0DC7073B">
            <w:pPr>
              <w:pStyle w:val="33"/>
              <w:spacing w:line="240" w:lineRule="auto"/>
              <w:ind w:left="0" w:firstLine="0"/>
              <w:jc w:val="center"/>
              <w:rPr>
                <w:rFonts w:ascii="Times New Roman" w:hAnsi="Times New Roman" w:eastAsiaTheme="minorEastAsia"/>
                <w:sz w:val="24"/>
                <w:szCs w:val="24"/>
                <w:lang w:eastAsia="zh-CN"/>
              </w:rPr>
            </w:pPr>
          </w:p>
        </w:tc>
      </w:tr>
      <w:tr w14:paraId="77A94F42">
        <w:trPr>
          <w:trHeight w:val="763" w:hRule="atLeast"/>
        </w:trPr>
        <w:tc>
          <w:tcPr>
            <w:tcW w:w="1701" w:type="dxa"/>
            <w:vMerge w:val="continue"/>
            <w:vAlign w:val="center"/>
          </w:tcPr>
          <w:p w14:paraId="664E1694">
            <w:pPr>
              <w:pStyle w:val="33"/>
              <w:spacing w:line="240" w:lineRule="auto"/>
              <w:ind w:left="0" w:firstLine="0"/>
              <w:jc w:val="center"/>
              <w:rPr>
                <w:rFonts w:ascii="Times New Roman" w:hAnsi="Times New Roman" w:eastAsiaTheme="minorEastAsia"/>
                <w:sz w:val="24"/>
                <w:szCs w:val="24"/>
                <w:lang w:eastAsia="zh-CN"/>
              </w:rPr>
            </w:pPr>
          </w:p>
        </w:tc>
        <w:tc>
          <w:tcPr>
            <w:tcW w:w="3686" w:type="dxa"/>
            <w:vAlign w:val="center"/>
          </w:tcPr>
          <w:p w14:paraId="5CC5114B">
            <w:pPr>
              <w:pStyle w:val="33"/>
              <w:spacing w:line="240" w:lineRule="auto"/>
              <w:ind w:left="0" w:firstLine="0"/>
              <w:jc w:val="center"/>
              <w:rPr>
                <w:rFonts w:ascii="Times New Roman" w:hAnsi="Times New Roman" w:eastAsiaTheme="minorEastAsia"/>
                <w:sz w:val="24"/>
                <w:szCs w:val="24"/>
                <w:lang w:eastAsia="zh-CN"/>
              </w:rPr>
            </w:pPr>
            <w:r>
              <w:rPr>
                <w:rFonts w:ascii="Times New Roman" w:hAnsi="Times New Roman" w:eastAsiaTheme="minorEastAsia"/>
                <w:sz w:val="24"/>
                <w:szCs w:val="24"/>
                <w:lang w:eastAsia="zh-CN"/>
              </w:rPr>
              <w:t>FVC</w:t>
            </w:r>
          </w:p>
        </w:tc>
        <w:tc>
          <w:tcPr>
            <w:tcW w:w="1276" w:type="dxa"/>
            <w:vMerge w:val="restart"/>
            <w:vAlign w:val="center"/>
          </w:tcPr>
          <w:p w14:paraId="0F3548CF">
            <w:pPr>
              <w:pStyle w:val="33"/>
              <w:spacing w:line="240" w:lineRule="auto"/>
              <w:ind w:left="0" w:firstLine="0"/>
              <w:jc w:val="center"/>
              <w:rPr>
                <w:rFonts w:ascii="Times New Roman" w:hAnsi="Times New Roman" w:eastAsiaTheme="minorEastAsia"/>
                <w:sz w:val="24"/>
                <w:szCs w:val="24"/>
                <w:lang w:eastAsia="zh-CN"/>
              </w:rPr>
            </w:pPr>
            <w:r>
              <w:rPr>
                <w:rFonts w:ascii="Times New Roman" w:hAnsi="Times New Roman" w:eastAsiaTheme="minorEastAsia"/>
                <w:sz w:val="24"/>
                <w:szCs w:val="24"/>
                <w:lang w:eastAsia="zh-CN"/>
              </w:rPr>
              <w:t>100m</w:t>
            </w:r>
          </w:p>
        </w:tc>
        <w:tc>
          <w:tcPr>
            <w:tcW w:w="3685" w:type="dxa"/>
            <w:vMerge w:val="restart"/>
            <w:vAlign w:val="center"/>
          </w:tcPr>
          <w:p w14:paraId="0A36E985">
            <w:pPr>
              <w:pStyle w:val="33"/>
              <w:spacing w:line="240" w:lineRule="auto"/>
              <w:ind w:left="0" w:firstLine="0"/>
              <w:jc w:val="center"/>
              <w:rPr>
                <w:rFonts w:ascii="Times New Roman" w:hAnsi="Times New Roman" w:eastAsiaTheme="minorEastAsia"/>
                <w:sz w:val="24"/>
                <w:szCs w:val="24"/>
                <w:lang w:eastAsia="zh-CN"/>
              </w:rPr>
            </w:pPr>
            <w:r>
              <w:rPr>
                <w:rFonts w:ascii="Times New Roman" w:hAnsi="Times New Roman" w:eastAsiaTheme="minorEastAsia"/>
                <w:sz w:val="24"/>
                <w:szCs w:val="24"/>
                <w:lang w:eastAsia="zh-CN"/>
              </w:rPr>
              <w:t xml:space="preserve">Based on the Landsat Collection 2 Level-2 Surface Reflectance product, see Appendix </w:t>
            </w:r>
            <w:r>
              <w:rPr>
                <w:rFonts w:hint="eastAsia" w:ascii="Times New Roman" w:hAnsi="Times New Roman" w:eastAsiaTheme="minorEastAsia"/>
                <w:sz w:val="24"/>
                <w:szCs w:val="24"/>
                <w:lang w:eastAsia="zh-CN"/>
              </w:rPr>
              <w:t>A.</w:t>
            </w:r>
            <w:r>
              <w:rPr>
                <w:rFonts w:ascii="Times New Roman" w:hAnsi="Times New Roman" w:eastAsiaTheme="minorEastAsia"/>
                <w:sz w:val="24"/>
                <w:szCs w:val="24"/>
                <w:lang w:eastAsia="zh-CN"/>
              </w:rPr>
              <w:t>2 for the index calculation.</w:t>
            </w:r>
          </w:p>
        </w:tc>
      </w:tr>
      <w:tr w14:paraId="75842179">
        <w:tc>
          <w:tcPr>
            <w:tcW w:w="1701" w:type="dxa"/>
            <w:vMerge w:val="continue"/>
            <w:vAlign w:val="center"/>
          </w:tcPr>
          <w:p w14:paraId="13DC20F5">
            <w:pPr>
              <w:pStyle w:val="33"/>
              <w:spacing w:line="240" w:lineRule="auto"/>
              <w:ind w:left="0" w:firstLine="0"/>
              <w:jc w:val="center"/>
              <w:rPr>
                <w:rFonts w:ascii="Times New Roman" w:hAnsi="Times New Roman" w:eastAsiaTheme="minorEastAsia"/>
                <w:sz w:val="24"/>
                <w:szCs w:val="24"/>
                <w:lang w:eastAsia="zh-CN"/>
              </w:rPr>
            </w:pPr>
          </w:p>
        </w:tc>
        <w:tc>
          <w:tcPr>
            <w:tcW w:w="3686" w:type="dxa"/>
            <w:vAlign w:val="center"/>
          </w:tcPr>
          <w:p w14:paraId="7EE925AD">
            <w:pPr>
              <w:pStyle w:val="33"/>
              <w:spacing w:line="240" w:lineRule="auto"/>
              <w:ind w:left="0" w:firstLine="0"/>
              <w:jc w:val="center"/>
              <w:rPr>
                <w:rFonts w:ascii="Times New Roman" w:hAnsi="Times New Roman" w:eastAsiaTheme="minorEastAsia"/>
                <w:sz w:val="24"/>
                <w:szCs w:val="24"/>
                <w:lang w:eastAsia="zh-CN"/>
              </w:rPr>
            </w:pPr>
            <w:r>
              <w:rPr>
                <w:rFonts w:ascii="Times New Roman" w:hAnsi="Times New Roman" w:eastAsiaTheme="minorEastAsia"/>
                <w:sz w:val="24"/>
                <w:szCs w:val="24"/>
                <w:lang w:eastAsia="zh-CN"/>
              </w:rPr>
              <w:t>NDWI</w:t>
            </w:r>
          </w:p>
        </w:tc>
        <w:tc>
          <w:tcPr>
            <w:tcW w:w="1276" w:type="dxa"/>
            <w:vMerge w:val="continue"/>
            <w:vAlign w:val="center"/>
          </w:tcPr>
          <w:p w14:paraId="51575369">
            <w:pPr>
              <w:pStyle w:val="33"/>
              <w:spacing w:line="240" w:lineRule="auto"/>
              <w:ind w:left="0" w:firstLine="0"/>
              <w:jc w:val="center"/>
              <w:rPr>
                <w:rFonts w:ascii="Times New Roman" w:hAnsi="Times New Roman" w:eastAsiaTheme="minorEastAsia"/>
                <w:sz w:val="24"/>
                <w:szCs w:val="24"/>
                <w:lang w:eastAsia="zh-CN"/>
              </w:rPr>
            </w:pPr>
          </w:p>
        </w:tc>
        <w:tc>
          <w:tcPr>
            <w:tcW w:w="3685" w:type="dxa"/>
            <w:vMerge w:val="continue"/>
            <w:vAlign w:val="center"/>
          </w:tcPr>
          <w:p w14:paraId="1E27BCD6">
            <w:pPr>
              <w:pStyle w:val="33"/>
              <w:spacing w:line="240" w:lineRule="auto"/>
              <w:ind w:left="0" w:firstLine="0"/>
              <w:jc w:val="center"/>
              <w:rPr>
                <w:rFonts w:ascii="Times New Roman" w:hAnsi="Times New Roman" w:eastAsiaTheme="minorEastAsia"/>
                <w:sz w:val="24"/>
                <w:szCs w:val="24"/>
                <w:lang w:eastAsia="zh-CN"/>
              </w:rPr>
            </w:pPr>
          </w:p>
        </w:tc>
      </w:tr>
      <w:tr w14:paraId="2C3BC7CC">
        <w:tc>
          <w:tcPr>
            <w:tcW w:w="1701" w:type="dxa"/>
            <w:vMerge w:val="continue"/>
            <w:vAlign w:val="center"/>
          </w:tcPr>
          <w:p w14:paraId="5378C6E2">
            <w:pPr>
              <w:pStyle w:val="33"/>
              <w:spacing w:line="240" w:lineRule="auto"/>
              <w:ind w:left="0" w:firstLine="0"/>
              <w:jc w:val="center"/>
              <w:rPr>
                <w:rFonts w:ascii="Times New Roman" w:hAnsi="Times New Roman" w:eastAsiaTheme="minorEastAsia"/>
                <w:sz w:val="24"/>
                <w:szCs w:val="24"/>
                <w:lang w:eastAsia="zh-CN"/>
              </w:rPr>
            </w:pPr>
          </w:p>
        </w:tc>
        <w:tc>
          <w:tcPr>
            <w:tcW w:w="3686" w:type="dxa"/>
            <w:vAlign w:val="center"/>
          </w:tcPr>
          <w:p w14:paraId="5B72A856">
            <w:pPr>
              <w:pStyle w:val="33"/>
              <w:spacing w:line="240" w:lineRule="auto"/>
              <w:ind w:left="0" w:firstLine="0"/>
              <w:jc w:val="center"/>
              <w:rPr>
                <w:rFonts w:ascii="Times New Roman" w:hAnsi="Times New Roman" w:eastAsiaTheme="minorEastAsia"/>
                <w:sz w:val="24"/>
                <w:szCs w:val="24"/>
                <w:lang w:eastAsia="zh-CN"/>
              </w:rPr>
            </w:pPr>
            <w:r>
              <w:rPr>
                <w:rFonts w:ascii="Times New Roman" w:hAnsi="Times New Roman" w:eastAsiaTheme="minorEastAsia"/>
                <w:sz w:val="24"/>
                <w:szCs w:val="24"/>
                <w:lang w:eastAsia="zh-CN"/>
              </w:rPr>
              <w:t>TWI</w:t>
            </w:r>
          </w:p>
        </w:tc>
        <w:tc>
          <w:tcPr>
            <w:tcW w:w="1276" w:type="dxa"/>
            <w:vMerge w:val="continue"/>
            <w:vAlign w:val="center"/>
          </w:tcPr>
          <w:p w14:paraId="58B0DC15">
            <w:pPr>
              <w:pStyle w:val="33"/>
              <w:spacing w:line="240" w:lineRule="auto"/>
              <w:ind w:left="0" w:firstLine="0"/>
              <w:jc w:val="center"/>
              <w:rPr>
                <w:rFonts w:ascii="Times New Roman" w:hAnsi="Times New Roman" w:eastAsiaTheme="minorEastAsia"/>
                <w:sz w:val="24"/>
                <w:szCs w:val="24"/>
                <w:lang w:eastAsia="zh-CN"/>
              </w:rPr>
            </w:pPr>
          </w:p>
        </w:tc>
        <w:tc>
          <w:tcPr>
            <w:tcW w:w="3685" w:type="dxa"/>
            <w:vAlign w:val="center"/>
          </w:tcPr>
          <w:p w14:paraId="13F8009A">
            <w:pPr>
              <w:pStyle w:val="33"/>
              <w:spacing w:line="240" w:lineRule="auto"/>
              <w:ind w:left="0" w:firstLine="0"/>
              <w:jc w:val="center"/>
              <w:rPr>
                <w:rFonts w:ascii="Times New Roman" w:hAnsi="Times New Roman" w:eastAsiaTheme="minorEastAsia"/>
                <w:sz w:val="24"/>
                <w:szCs w:val="24"/>
                <w:lang w:eastAsia="zh-CN"/>
              </w:rPr>
            </w:pPr>
            <w:r>
              <w:rPr>
                <w:rFonts w:ascii="Times New Roman" w:hAnsi="Times New Roman" w:eastAsiaTheme="minorEastAsia"/>
                <w:sz w:val="24"/>
                <w:szCs w:val="24"/>
                <w:lang w:eastAsia="zh-CN"/>
              </w:rPr>
              <w:t xml:space="preserve">Based on the HydroSHEDS dataset, https://www.hydrosheds.org/products/hydrorivers, see Appendix </w:t>
            </w:r>
            <w:r>
              <w:rPr>
                <w:rFonts w:hint="eastAsia" w:ascii="Times New Roman" w:hAnsi="Times New Roman" w:eastAsiaTheme="minorEastAsia"/>
                <w:sz w:val="24"/>
                <w:szCs w:val="24"/>
                <w:lang w:eastAsia="zh-CN"/>
              </w:rPr>
              <w:t>A.</w:t>
            </w:r>
            <w:r>
              <w:rPr>
                <w:rFonts w:ascii="Times New Roman" w:hAnsi="Times New Roman" w:eastAsiaTheme="minorEastAsia"/>
                <w:sz w:val="24"/>
                <w:szCs w:val="24"/>
                <w:lang w:eastAsia="zh-CN"/>
              </w:rPr>
              <w:t>2 for the index processing.</w:t>
            </w:r>
          </w:p>
        </w:tc>
      </w:tr>
      <w:tr w14:paraId="188E3286">
        <w:tc>
          <w:tcPr>
            <w:tcW w:w="1701" w:type="dxa"/>
            <w:vMerge w:val="continue"/>
            <w:vAlign w:val="center"/>
          </w:tcPr>
          <w:p w14:paraId="0C6CAB43">
            <w:pPr>
              <w:pStyle w:val="33"/>
              <w:spacing w:line="240" w:lineRule="auto"/>
              <w:ind w:left="0" w:firstLine="0"/>
              <w:jc w:val="center"/>
              <w:rPr>
                <w:rFonts w:ascii="Times New Roman" w:hAnsi="Times New Roman" w:eastAsiaTheme="minorEastAsia"/>
                <w:sz w:val="24"/>
                <w:szCs w:val="24"/>
                <w:lang w:eastAsia="zh-CN"/>
              </w:rPr>
            </w:pPr>
          </w:p>
        </w:tc>
        <w:tc>
          <w:tcPr>
            <w:tcW w:w="3686" w:type="dxa"/>
            <w:vAlign w:val="center"/>
          </w:tcPr>
          <w:p w14:paraId="3FF2EE20">
            <w:pPr>
              <w:pStyle w:val="33"/>
              <w:spacing w:line="240" w:lineRule="auto"/>
              <w:ind w:left="0" w:firstLine="0"/>
              <w:jc w:val="center"/>
              <w:rPr>
                <w:rFonts w:ascii="Times New Roman" w:hAnsi="Times New Roman" w:eastAsiaTheme="minorEastAsia"/>
                <w:sz w:val="24"/>
                <w:szCs w:val="24"/>
                <w:lang w:eastAsia="zh-CN"/>
              </w:rPr>
            </w:pPr>
            <w:r>
              <w:rPr>
                <w:rFonts w:ascii="Times New Roman" w:hAnsi="Times New Roman" w:eastAsiaTheme="minorEastAsia"/>
                <w:sz w:val="24"/>
                <w:szCs w:val="24"/>
                <w:lang w:eastAsia="zh-CN"/>
              </w:rPr>
              <w:t>LULC</w:t>
            </w:r>
          </w:p>
        </w:tc>
        <w:tc>
          <w:tcPr>
            <w:tcW w:w="1276" w:type="dxa"/>
            <w:vMerge w:val="continue"/>
            <w:vAlign w:val="center"/>
          </w:tcPr>
          <w:p w14:paraId="65A611B9">
            <w:pPr>
              <w:pStyle w:val="33"/>
              <w:spacing w:line="240" w:lineRule="auto"/>
              <w:ind w:left="0" w:firstLine="0"/>
              <w:jc w:val="center"/>
              <w:rPr>
                <w:rFonts w:ascii="Times New Roman" w:hAnsi="Times New Roman" w:eastAsiaTheme="minorEastAsia"/>
                <w:sz w:val="24"/>
                <w:szCs w:val="24"/>
                <w:lang w:eastAsia="zh-CN"/>
              </w:rPr>
            </w:pPr>
          </w:p>
        </w:tc>
        <w:tc>
          <w:tcPr>
            <w:tcW w:w="3685" w:type="dxa"/>
            <w:vAlign w:val="center"/>
          </w:tcPr>
          <w:p w14:paraId="2F02C6B7">
            <w:pPr>
              <w:pStyle w:val="33"/>
              <w:spacing w:line="240" w:lineRule="auto"/>
              <w:ind w:left="0" w:firstLine="0"/>
              <w:jc w:val="center"/>
              <w:rPr>
                <w:rFonts w:ascii="Times New Roman" w:hAnsi="Times New Roman" w:eastAsiaTheme="minorEastAsia"/>
                <w:sz w:val="24"/>
                <w:szCs w:val="24"/>
                <w:lang w:eastAsia="zh-CN"/>
              </w:rPr>
            </w:pPr>
            <w:r>
              <w:rPr>
                <w:rFonts w:ascii="Times New Roman" w:hAnsi="Times New Roman" w:eastAsiaTheme="minorEastAsia"/>
                <w:sz w:val="24"/>
                <w:szCs w:val="24"/>
                <w:lang w:eastAsia="zh-CN"/>
              </w:rPr>
              <w:t>Dynamic World V1, the data we used is from the year 2024 and 2025, based on Google Earth Engine.</w:t>
            </w:r>
          </w:p>
        </w:tc>
      </w:tr>
      <w:tr w14:paraId="1F94572B">
        <w:tc>
          <w:tcPr>
            <w:tcW w:w="1701" w:type="dxa"/>
            <w:vMerge w:val="continue"/>
            <w:vAlign w:val="center"/>
          </w:tcPr>
          <w:p w14:paraId="22350291">
            <w:pPr>
              <w:pStyle w:val="33"/>
              <w:spacing w:line="240" w:lineRule="auto"/>
              <w:ind w:left="0" w:firstLine="0"/>
              <w:jc w:val="center"/>
              <w:rPr>
                <w:rFonts w:ascii="Times New Roman" w:hAnsi="Times New Roman" w:eastAsiaTheme="minorEastAsia"/>
                <w:sz w:val="24"/>
                <w:szCs w:val="24"/>
                <w:lang w:eastAsia="zh-CN"/>
              </w:rPr>
            </w:pPr>
          </w:p>
        </w:tc>
        <w:tc>
          <w:tcPr>
            <w:tcW w:w="3686" w:type="dxa"/>
            <w:vAlign w:val="center"/>
          </w:tcPr>
          <w:p w14:paraId="66B03DE1">
            <w:pPr>
              <w:pStyle w:val="33"/>
              <w:spacing w:line="240" w:lineRule="auto"/>
              <w:ind w:left="0" w:firstLine="0"/>
              <w:jc w:val="center"/>
              <w:rPr>
                <w:rFonts w:ascii="Times New Roman" w:hAnsi="Times New Roman" w:eastAsiaTheme="minorEastAsia"/>
                <w:sz w:val="24"/>
                <w:szCs w:val="24"/>
                <w:lang w:eastAsia="zh-CN"/>
              </w:rPr>
            </w:pPr>
            <w:r>
              <w:rPr>
                <w:rFonts w:ascii="Times New Roman" w:hAnsi="Times New Roman" w:eastAsiaTheme="minorEastAsia"/>
                <w:sz w:val="24"/>
                <w:szCs w:val="24"/>
                <w:lang w:eastAsia="zh-CN"/>
              </w:rPr>
              <w:t>AI</w:t>
            </w:r>
          </w:p>
        </w:tc>
        <w:tc>
          <w:tcPr>
            <w:tcW w:w="1276" w:type="dxa"/>
            <w:vMerge w:val="restart"/>
            <w:vAlign w:val="center"/>
          </w:tcPr>
          <w:p w14:paraId="1242CC57">
            <w:pPr>
              <w:pStyle w:val="33"/>
              <w:spacing w:line="240" w:lineRule="auto"/>
              <w:ind w:left="0" w:firstLine="0"/>
              <w:jc w:val="center"/>
              <w:rPr>
                <w:rFonts w:ascii="Times New Roman" w:hAnsi="Times New Roman" w:eastAsiaTheme="minorEastAsia"/>
                <w:sz w:val="24"/>
                <w:szCs w:val="24"/>
                <w:lang w:eastAsia="zh-CN"/>
              </w:rPr>
            </w:pPr>
            <w:r>
              <w:rPr>
                <w:rFonts w:ascii="Times New Roman" w:hAnsi="Times New Roman" w:eastAsiaTheme="minorEastAsia"/>
                <w:sz w:val="24"/>
                <w:szCs w:val="24"/>
                <w:lang w:eastAsia="zh-CN"/>
              </w:rPr>
              <w:t>500m</w:t>
            </w:r>
          </w:p>
        </w:tc>
        <w:tc>
          <w:tcPr>
            <w:tcW w:w="3685" w:type="dxa"/>
            <w:vAlign w:val="center"/>
          </w:tcPr>
          <w:p w14:paraId="27A5D2CA">
            <w:pPr>
              <w:pStyle w:val="33"/>
              <w:spacing w:line="240" w:lineRule="auto"/>
              <w:ind w:left="0" w:firstLine="0"/>
              <w:jc w:val="center"/>
              <w:rPr>
                <w:rFonts w:ascii="Times New Roman" w:hAnsi="Times New Roman" w:eastAsiaTheme="minorEastAsia"/>
                <w:sz w:val="24"/>
                <w:szCs w:val="24"/>
                <w:lang w:eastAsia="zh-CN"/>
              </w:rPr>
            </w:pPr>
            <w:r>
              <w:rPr>
                <w:rFonts w:ascii="Times New Roman" w:hAnsi="Times New Roman" w:eastAsiaTheme="minorEastAsia"/>
                <w:sz w:val="24"/>
                <w:szCs w:val="24"/>
                <w:lang w:eastAsia="zh-CN"/>
              </w:rPr>
              <w:t xml:space="preserve">generated from climate data, see Appendix </w:t>
            </w:r>
            <w:r>
              <w:rPr>
                <w:rFonts w:hint="eastAsia" w:ascii="Times New Roman" w:hAnsi="Times New Roman" w:eastAsiaTheme="minorEastAsia"/>
                <w:sz w:val="24"/>
                <w:szCs w:val="24"/>
                <w:lang w:eastAsia="zh-CN"/>
              </w:rPr>
              <w:t>A.</w:t>
            </w:r>
            <w:r>
              <w:rPr>
                <w:rFonts w:ascii="Times New Roman" w:hAnsi="Times New Roman" w:eastAsiaTheme="minorEastAsia"/>
                <w:sz w:val="24"/>
                <w:szCs w:val="24"/>
                <w:lang w:eastAsia="zh-CN"/>
              </w:rPr>
              <w:t>2 for the index processing.</w:t>
            </w:r>
          </w:p>
        </w:tc>
      </w:tr>
      <w:tr w14:paraId="6C8049D2">
        <w:tc>
          <w:tcPr>
            <w:tcW w:w="1701" w:type="dxa"/>
            <w:vMerge w:val="continue"/>
            <w:vAlign w:val="center"/>
          </w:tcPr>
          <w:p w14:paraId="18E0C08D">
            <w:pPr>
              <w:pStyle w:val="33"/>
              <w:spacing w:line="240" w:lineRule="auto"/>
              <w:ind w:left="0" w:firstLine="0"/>
              <w:jc w:val="center"/>
              <w:rPr>
                <w:rFonts w:ascii="Times New Roman" w:hAnsi="Times New Roman" w:eastAsiaTheme="minorEastAsia"/>
                <w:sz w:val="24"/>
                <w:szCs w:val="24"/>
                <w:lang w:eastAsia="zh-CN"/>
              </w:rPr>
            </w:pPr>
          </w:p>
        </w:tc>
        <w:tc>
          <w:tcPr>
            <w:tcW w:w="3686" w:type="dxa"/>
            <w:vAlign w:val="center"/>
          </w:tcPr>
          <w:p w14:paraId="01478FFB">
            <w:pPr>
              <w:pStyle w:val="33"/>
              <w:spacing w:line="240" w:lineRule="auto"/>
              <w:ind w:left="0" w:firstLine="0"/>
              <w:jc w:val="center"/>
              <w:rPr>
                <w:rFonts w:ascii="Times New Roman" w:hAnsi="Times New Roman" w:eastAsiaTheme="minorEastAsia"/>
                <w:sz w:val="24"/>
                <w:szCs w:val="24"/>
                <w:lang w:eastAsia="zh-CN"/>
              </w:rPr>
            </w:pPr>
            <w:r>
              <w:rPr>
                <w:rFonts w:ascii="Times New Roman" w:hAnsi="Times New Roman" w:eastAsiaTheme="minorEastAsia"/>
                <w:sz w:val="24"/>
                <w:szCs w:val="24"/>
                <w:lang w:eastAsia="zh-CN"/>
              </w:rPr>
              <w:t>Distance to water</w:t>
            </w:r>
          </w:p>
        </w:tc>
        <w:tc>
          <w:tcPr>
            <w:tcW w:w="1276" w:type="dxa"/>
            <w:vMerge w:val="continue"/>
            <w:vAlign w:val="center"/>
          </w:tcPr>
          <w:p w14:paraId="316B50D9">
            <w:pPr>
              <w:pStyle w:val="33"/>
              <w:spacing w:line="240" w:lineRule="auto"/>
              <w:ind w:left="0" w:firstLine="0"/>
              <w:jc w:val="center"/>
              <w:rPr>
                <w:rFonts w:ascii="Times New Roman" w:hAnsi="Times New Roman" w:eastAsiaTheme="minorEastAsia"/>
                <w:sz w:val="24"/>
                <w:szCs w:val="24"/>
                <w:lang w:eastAsia="zh-CN"/>
              </w:rPr>
            </w:pPr>
          </w:p>
        </w:tc>
        <w:tc>
          <w:tcPr>
            <w:tcW w:w="3685" w:type="dxa"/>
            <w:vMerge w:val="restart"/>
            <w:vAlign w:val="center"/>
          </w:tcPr>
          <w:p w14:paraId="7D09654E">
            <w:pPr>
              <w:pStyle w:val="33"/>
              <w:spacing w:line="240" w:lineRule="auto"/>
              <w:ind w:left="0" w:firstLine="0"/>
              <w:jc w:val="center"/>
              <w:rPr>
                <w:rFonts w:ascii="Times New Roman" w:hAnsi="Times New Roman" w:eastAsiaTheme="minorEastAsia"/>
                <w:sz w:val="24"/>
                <w:szCs w:val="24"/>
                <w:lang w:eastAsia="zh-CN"/>
              </w:rPr>
            </w:pPr>
            <w:r>
              <w:rPr>
                <w:rFonts w:ascii="Times New Roman" w:hAnsi="Times New Roman" w:eastAsiaTheme="minorEastAsia"/>
                <w:sz w:val="24"/>
                <w:szCs w:val="24"/>
                <w:lang w:eastAsia="zh-CN"/>
              </w:rPr>
              <w:t xml:space="preserve">Road and surface water data are sourced from OpenStreetMap (OSM): https://download.geofabrik.de/north-america/us/california/socal.html, see Appendix </w:t>
            </w:r>
            <w:r>
              <w:rPr>
                <w:rFonts w:hint="eastAsia" w:ascii="Times New Roman" w:hAnsi="Times New Roman" w:eastAsiaTheme="minorEastAsia"/>
                <w:sz w:val="24"/>
                <w:szCs w:val="24"/>
                <w:lang w:eastAsia="zh-CN"/>
              </w:rPr>
              <w:t>A.</w:t>
            </w:r>
            <w:r>
              <w:rPr>
                <w:rFonts w:ascii="Times New Roman" w:hAnsi="Times New Roman" w:eastAsiaTheme="minorEastAsia"/>
                <w:sz w:val="24"/>
                <w:szCs w:val="24"/>
                <w:lang w:eastAsia="zh-CN"/>
              </w:rPr>
              <w:t>2 for details on data processing.</w:t>
            </w:r>
          </w:p>
        </w:tc>
      </w:tr>
      <w:tr w14:paraId="78737534">
        <w:tc>
          <w:tcPr>
            <w:tcW w:w="1701" w:type="dxa"/>
            <w:tcBorders>
              <w:bottom w:val="single" w:color="auto" w:sz="12" w:space="0"/>
            </w:tcBorders>
            <w:vAlign w:val="center"/>
          </w:tcPr>
          <w:p w14:paraId="109CF5DA">
            <w:pPr>
              <w:pStyle w:val="33"/>
              <w:spacing w:line="240" w:lineRule="auto"/>
              <w:ind w:left="0" w:firstLine="0"/>
              <w:jc w:val="center"/>
              <w:rPr>
                <w:rFonts w:ascii="Times New Roman" w:hAnsi="Times New Roman" w:eastAsiaTheme="minorEastAsia"/>
                <w:sz w:val="24"/>
                <w:szCs w:val="24"/>
                <w:lang w:eastAsia="zh-CN"/>
              </w:rPr>
            </w:pPr>
            <w:r>
              <w:rPr>
                <w:rFonts w:ascii="Times New Roman" w:hAnsi="Times New Roman" w:eastAsiaTheme="minorEastAsia"/>
                <w:sz w:val="24"/>
                <w:szCs w:val="24"/>
                <w:lang w:eastAsia="zh-CN"/>
              </w:rPr>
              <w:t>human disturbance variables</w:t>
            </w:r>
          </w:p>
        </w:tc>
        <w:tc>
          <w:tcPr>
            <w:tcW w:w="3686" w:type="dxa"/>
            <w:tcBorders>
              <w:bottom w:val="single" w:color="auto" w:sz="12" w:space="0"/>
            </w:tcBorders>
            <w:vAlign w:val="center"/>
          </w:tcPr>
          <w:p w14:paraId="709069B5">
            <w:pPr>
              <w:pStyle w:val="33"/>
              <w:spacing w:line="240" w:lineRule="auto"/>
              <w:ind w:left="0" w:firstLine="0"/>
              <w:jc w:val="center"/>
              <w:rPr>
                <w:rFonts w:ascii="Times New Roman" w:hAnsi="Times New Roman" w:eastAsiaTheme="minorEastAsia"/>
                <w:sz w:val="24"/>
                <w:szCs w:val="24"/>
                <w:lang w:eastAsia="zh-CN"/>
              </w:rPr>
            </w:pPr>
            <w:r>
              <w:rPr>
                <w:rFonts w:ascii="Times New Roman" w:hAnsi="Times New Roman" w:eastAsiaTheme="minorEastAsia"/>
                <w:sz w:val="24"/>
                <w:szCs w:val="24"/>
                <w:lang w:eastAsia="zh-CN"/>
              </w:rPr>
              <w:t>Distance to roads</w:t>
            </w:r>
          </w:p>
        </w:tc>
        <w:tc>
          <w:tcPr>
            <w:tcW w:w="1276" w:type="dxa"/>
            <w:vMerge w:val="continue"/>
            <w:tcBorders>
              <w:bottom w:val="single" w:color="auto" w:sz="12" w:space="0"/>
            </w:tcBorders>
            <w:vAlign w:val="center"/>
          </w:tcPr>
          <w:p w14:paraId="6F3449D3">
            <w:pPr>
              <w:pStyle w:val="33"/>
              <w:spacing w:line="240" w:lineRule="auto"/>
              <w:ind w:left="0" w:firstLine="0"/>
              <w:jc w:val="center"/>
              <w:rPr>
                <w:rFonts w:ascii="Times New Roman" w:hAnsi="Times New Roman" w:eastAsiaTheme="minorEastAsia"/>
                <w:sz w:val="24"/>
                <w:szCs w:val="24"/>
                <w:lang w:eastAsia="zh-CN"/>
              </w:rPr>
            </w:pPr>
          </w:p>
        </w:tc>
        <w:tc>
          <w:tcPr>
            <w:tcW w:w="3685" w:type="dxa"/>
            <w:vMerge w:val="continue"/>
            <w:tcBorders>
              <w:bottom w:val="single" w:color="auto" w:sz="12" w:space="0"/>
            </w:tcBorders>
            <w:vAlign w:val="center"/>
          </w:tcPr>
          <w:p w14:paraId="44011445">
            <w:pPr>
              <w:pStyle w:val="33"/>
              <w:spacing w:line="240" w:lineRule="auto"/>
              <w:ind w:left="0" w:firstLine="0"/>
              <w:jc w:val="center"/>
              <w:rPr>
                <w:rFonts w:ascii="Times New Roman" w:hAnsi="Times New Roman" w:eastAsiaTheme="minorEastAsia"/>
                <w:sz w:val="24"/>
                <w:szCs w:val="24"/>
                <w:lang w:eastAsia="zh-CN"/>
              </w:rPr>
            </w:pPr>
          </w:p>
        </w:tc>
      </w:tr>
    </w:tbl>
    <w:p w14:paraId="0A786339">
      <w:pPr>
        <w:pStyle w:val="33"/>
        <w:spacing w:line="240" w:lineRule="auto"/>
        <w:ind w:left="0" w:firstLine="0"/>
        <w:rPr>
          <w:rFonts w:ascii="Times New Roman" w:hAnsi="Times New Roman" w:eastAsiaTheme="minorEastAsia"/>
          <w:sz w:val="24"/>
          <w:szCs w:val="24"/>
          <w:lang w:eastAsia="zh-CN"/>
        </w:rPr>
      </w:pPr>
      <w:r>
        <w:rPr>
          <w:rFonts w:ascii="Times New Roman" w:hAnsi="Times New Roman" w:eastAsiaTheme="minorEastAsia"/>
          <w:sz w:val="24"/>
          <w:szCs w:val="24"/>
          <w:lang w:eastAsia="zh-CN"/>
        </w:rPr>
        <w:t>Previous studies have shown that macro-climatic changes before and after a fire are relatively minor</w:t>
      </w:r>
      <w:r>
        <w:rPr>
          <w:rFonts w:ascii="Times New Roman" w:hAnsi="Times New Roman" w:eastAsiaTheme="minorEastAsia"/>
          <w:sz w:val="24"/>
          <w:szCs w:val="24"/>
          <w:lang w:eastAsia="zh-CN"/>
        </w:rPr>
        <w:fldChar w:fldCharType="begin"/>
      </w:r>
      <w:r>
        <w:rPr>
          <w:rFonts w:ascii="Times New Roman" w:hAnsi="Times New Roman" w:eastAsiaTheme="minorEastAsia"/>
          <w:sz w:val="24"/>
          <w:szCs w:val="24"/>
          <w:lang w:eastAsia="zh-CN"/>
        </w:rPr>
        <w:instrText xml:space="preserve"> ADDIN ZOTERO_ITEM CSL_CITATION {"citationID":"GxjjVRAu","properties":{"formattedCitation":"(Varner et al., 2015)","plainCitation":"(Varner et al., 2015)","noteIndex":0},"citationItems":[{"id":361,"uris":["http://zotero.org/users/17543282/items/9GFVZTKP"],"itemData":{"id":361,"type":"article-journal","abstract":"Wildfires are increasing in frequency and severity as a result of climate change in many ecosystems; however, effects of altered disturbance regimes on wildlife remain poorly quantified. Here, we leverage an unexpected opportunity to investigate how fire affects the occupancy and abundance of a climate-sensitive habitat specialist, the American pika (Ochotona princeps). We determine the effects of a fire on microclimates within talus and explore habitat factors promoting persistence and abundance in fire-affected habitat. During the fire, temperatures in talus interstices remained below 19°C, suggesting that animals could have survived in situ. Within 2 years, pikas were widely distributed throughout burned areas and did not appear to be physiologically stressed at severely burned sites. Furthermore, pika densities were better predicted by topographic variables known to affect this species than by metrics of fire severity. This widespread distribution may reflect quick vegetation recovery and the fact that the fire did not alter the talus microclimates in the following years. Together, these results highlight the value of talus as a thermal refuge for small animals during and after fire. They also underscore the importance of further study in individual species’ responses to typical and altered disturbance regimes.","container-title":"International Journal of Wildland Fire","DOI":"10.1071/WF15038","ISSN":"1049-8001","issue":"7","journalAbbreviation":"Int J Wildland Fire","page":"921-932","source":"Silverchair","title":"Too hot to trot? Evaluating the effects of wildfire on patterns of occupancy and abundance for a climate-sensitive habitat specialist","title-short":"Too hot to trot?","volume":"24","author":[{"family":"Varner","given":"Johanna"},{"family":"Lambert","given":"Mallory S."},{"family":"Horns","given":"Joshua J."},{"family":"Laverty","given":"Sean"},{"family":"Dizney","given":"Laurie"},{"family":"Beever","given":"Erik A."},{"family":"Dearing","given":"M. Denise"}],"issued":{"date-parts":[["2015",6,4]]}}}],"schema":"https://github.com/citation-style-language/schema/raw/master/csl-citation.json"} </w:instrText>
      </w:r>
      <w:r>
        <w:rPr>
          <w:rFonts w:ascii="Times New Roman" w:hAnsi="Times New Roman" w:eastAsiaTheme="minorEastAsia"/>
          <w:sz w:val="24"/>
          <w:szCs w:val="24"/>
          <w:lang w:eastAsia="zh-CN"/>
        </w:rPr>
        <w:fldChar w:fldCharType="separate"/>
      </w:r>
      <w:r>
        <w:rPr>
          <w:rFonts w:ascii="Times New Roman" w:hAnsi="Times New Roman" w:eastAsiaTheme="minorEastAsia"/>
          <w:sz w:val="24"/>
        </w:rPr>
        <w:t>(Varner et al., 2015)</w:t>
      </w:r>
      <w:r>
        <w:rPr>
          <w:rFonts w:ascii="Times New Roman" w:hAnsi="Times New Roman" w:eastAsiaTheme="minorEastAsia"/>
          <w:sz w:val="24"/>
          <w:szCs w:val="24"/>
          <w:lang w:eastAsia="zh-CN"/>
        </w:rPr>
        <w:fldChar w:fldCharType="end"/>
      </w:r>
      <w:r>
        <w:rPr>
          <w:rFonts w:ascii="Times New Roman" w:hAnsi="Times New Roman" w:eastAsiaTheme="minorEastAsia"/>
          <w:sz w:val="24"/>
          <w:szCs w:val="24"/>
          <w:lang w:eastAsia="zh-CN"/>
        </w:rPr>
        <w:t>，therefore, we assumes that bioclimatic variables do not vary significantly before and after fire.</w:t>
      </w:r>
      <w:r>
        <w:rPr>
          <w:rFonts w:ascii="Times New Roman" w:hAnsi="Times New Roman"/>
          <w:sz w:val="24"/>
          <w:szCs w:val="24"/>
        </w:rPr>
        <w:t xml:space="preserve"> </w:t>
      </w:r>
      <w:r>
        <w:rPr>
          <w:rFonts w:ascii="Times New Roman" w:hAnsi="Times New Roman" w:eastAsiaTheme="minorEastAsia"/>
          <w:sz w:val="24"/>
          <w:szCs w:val="24"/>
          <w:lang w:eastAsia="zh-CN"/>
        </w:rPr>
        <w:t>To investigate the impact of fire, we included environmental variables that are significantly affected by fire, including AI, FVC and LULC. Based on species’ suitable niches calculated by MaxEnt prior to 2024, post-fire distribution hotspots were mapped to facilitate a comparative analysis of the potential impacts of fire.</w:t>
      </w:r>
    </w:p>
    <w:p w14:paraId="2FBB0CD1">
      <w:pPr>
        <w:pStyle w:val="48"/>
        <w:spacing w:before="240" w:line="240" w:lineRule="auto"/>
        <w:ind w:left="0"/>
        <w:rPr>
          <w:rFonts w:ascii="Times New Roman" w:hAnsi="Times New Roman" w:eastAsiaTheme="minorEastAsia"/>
          <w:i w:val="0"/>
          <w:iCs/>
          <w:sz w:val="24"/>
          <w:szCs w:val="24"/>
          <w:lang w:eastAsia="zh-CN"/>
        </w:rPr>
      </w:pPr>
      <w:r>
        <w:rPr>
          <w:rFonts w:ascii="Times New Roman" w:hAnsi="Times New Roman" w:eastAsiaTheme="minorEastAsia"/>
          <w:i w:val="0"/>
          <w:iCs/>
          <w:sz w:val="24"/>
          <w:szCs w:val="24"/>
          <w:lang w:eastAsia="zh-CN"/>
        </w:rPr>
        <w:t>2.4 Nonlinear and Spatial Heterogeneity Response of Vertebrate Biodiversity to Wildfire</w:t>
      </w:r>
    </w:p>
    <w:p w14:paraId="066D6AF5">
      <w:pPr>
        <w:pStyle w:val="46"/>
        <w:spacing w:line="240" w:lineRule="auto"/>
        <w:ind w:left="0"/>
        <w:rPr>
          <w:rFonts w:ascii="Times New Roman" w:hAnsi="Times New Roman" w:eastAsiaTheme="minorEastAsia"/>
          <w:sz w:val="24"/>
          <w:szCs w:val="24"/>
          <w:lang w:eastAsia="zh-CN"/>
        </w:rPr>
      </w:pPr>
      <w:r>
        <w:rPr>
          <w:rFonts w:ascii="Times New Roman" w:hAnsi="Times New Roman" w:eastAsiaTheme="minorEastAsia"/>
          <w:sz w:val="24"/>
          <w:szCs w:val="24"/>
          <w:lang w:eastAsia="zh-CN"/>
        </w:rPr>
        <w:t>2.4.1</w:t>
      </w:r>
      <w:r>
        <w:rPr>
          <w:rFonts w:ascii="Times New Roman" w:hAnsi="Times New Roman"/>
        </w:rPr>
        <w:t xml:space="preserve"> </w:t>
      </w:r>
      <w:r>
        <w:rPr>
          <w:rFonts w:ascii="Times New Roman" w:hAnsi="Times New Roman" w:eastAsiaTheme="minorEastAsia"/>
          <w:sz w:val="24"/>
          <w:szCs w:val="24"/>
          <w:lang w:eastAsia="zh-CN"/>
        </w:rPr>
        <w:t>Identification of Ecological Tipping Points via Generalized Additive Models (GAM)</w:t>
      </w:r>
    </w:p>
    <w:p w14:paraId="7F6BB724">
      <w:pPr>
        <w:pStyle w:val="33"/>
        <w:spacing w:line="240" w:lineRule="auto"/>
        <w:ind w:left="0" w:firstLine="0"/>
        <w:rPr>
          <w:rFonts w:ascii="Times New Roman" w:hAnsi="Times New Roman" w:eastAsiaTheme="minorEastAsia"/>
          <w:sz w:val="24"/>
          <w:szCs w:val="24"/>
          <w:lang w:eastAsia="zh-CN"/>
        </w:rPr>
      </w:pPr>
      <w:r>
        <w:rPr>
          <w:rFonts w:ascii="Times New Roman" w:hAnsi="Times New Roman" w:eastAsiaTheme="minorEastAsia"/>
          <w:sz w:val="24"/>
          <w:szCs w:val="24"/>
          <w:lang w:eastAsia="zh-CN"/>
        </w:rPr>
        <w:t>Due to the complex, non-linear, and non-monotonic nature of wildfire disturbance impacts on ecosystems and biodiversity</w:t>
      </w:r>
      <w:r>
        <w:rPr>
          <w:rFonts w:ascii="Times New Roman" w:hAnsi="Times New Roman" w:eastAsiaTheme="minorEastAsia"/>
          <w:sz w:val="24"/>
          <w:szCs w:val="24"/>
          <w:lang w:eastAsia="zh-CN"/>
        </w:rPr>
        <w:fldChar w:fldCharType="begin"/>
      </w:r>
      <w:r>
        <w:rPr>
          <w:rFonts w:ascii="Times New Roman" w:hAnsi="Times New Roman" w:eastAsiaTheme="minorEastAsia"/>
          <w:sz w:val="24"/>
          <w:szCs w:val="24"/>
          <w:lang w:eastAsia="zh-CN"/>
        </w:rPr>
        <w:instrText xml:space="preserve"> ADDIN ZOTERO_ITEM CSL_CITATION {"citationID":"VJsSZAa7","properties":{"unsorted":false,"formattedCitation":"(Sapkota et al., 2025)","plainCitation":"(Sapkota et al., 2025)","noteIndex":0},"citationItems":[{"id":487,"uris":["http://zotero.org/users/17543282/items/2V45DA6Y"],"itemData":{"id":487,"type":"article-journal","abstract":"Fires are a key environmental driver that modify ecosystems and global biodiversity. Fires can negatively and positively impact biodiversity and ecosystem functioning, depending on how frequently fire occurs in the focal ecosystem, but factors influencing biodiversity responses to fire are inadequately understood. We conduct a pan-tropical analysis of systematically collated data spanning 5257 observations of 1705 plant species (trees and shrubs, forbs, graminoids and climbers) in burnt and unburnt plots from 28 studies. We use model averaging of mixed effect models assessing how plant species richness and turnover (comparing burnt and unburnt communities) vary with time since fire, fire type, protected area status and biome type (fire sensitive or fire adaptive). Our analyses bring three key findings. First, prescribed and non-prescribed burns have contrasting impacts on plant species richness (trees/shrubs and climbers); prescribed fire favours increased species richness compared to non-prescribed burns. Second, the effect of time since fire on the recovery of species composition varies across all life form groups; forb's species composition recovered faster over all life forms. Third, protection status alters fire impacts on the species richness of trees/shrubs and climbers and species recovery of graminoids. Non-protected areas exhibit higher species richness compared to protected areas in trees/shrubs, and climbers. Graminoid species composition recovered quicker in protected sites compared to unprotected ones. Since fire intervals are decreasing in fire-sensitive biomes and increasing in fire-adaptive biomes, plant communities across much of the tropics are likely to change in response to exposure to fire in the future.","container-title":"Ecology and Evolution","DOI":"10.1002/ece3.71018","ISSN":"2045-7758","issue":"2","language":"en","license":"© 2025 The Author(s). Ecology and Evolution published by John Wiley &amp; Sons Ltd.","note":"_eprint: https://onlinelibrary.wiley.com/doi/pdf/10.1002/ece3.71018","page":"e71018","source":"Wiley Online Library","title":"A Pantropical Analysis of Fire Impacts and Post-Fire Species Recovery of Plant Life Forms","volume":"15","author":[{"family":"Sapkota","given":"Dharma P."},{"family":"Edwards","given":"David P."},{"family":"Massam","given":"Mike R."},{"family":"Evans","given":"Karl L."}],"issued":{"date-parts":[["2025"]]}}}],"schema":"https://github.com/citation-style-language/schema/raw/master/csl-citation.json"} </w:instrText>
      </w:r>
      <w:r>
        <w:rPr>
          <w:rFonts w:ascii="Times New Roman" w:hAnsi="Times New Roman" w:eastAsiaTheme="minorEastAsia"/>
          <w:sz w:val="24"/>
          <w:szCs w:val="24"/>
          <w:lang w:eastAsia="zh-CN"/>
        </w:rPr>
        <w:fldChar w:fldCharType="separate"/>
      </w:r>
      <w:r>
        <w:rPr>
          <w:rFonts w:ascii="Times New Roman" w:hAnsi="Times New Roman" w:eastAsiaTheme="minorEastAsia"/>
          <w:sz w:val="24"/>
        </w:rPr>
        <w:t>(Sapkota et al., 2025)</w:t>
      </w:r>
      <w:r>
        <w:rPr>
          <w:rFonts w:ascii="Times New Roman" w:hAnsi="Times New Roman" w:eastAsiaTheme="minorEastAsia"/>
          <w:sz w:val="24"/>
          <w:szCs w:val="24"/>
          <w:lang w:eastAsia="zh-CN"/>
        </w:rPr>
        <w:fldChar w:fldCharType="end"/>
      </w:r>
      <w:r>
        <w:rPr>
          <w:rFonts w:ascii="Times New Roman" w:hAnsi="Times New Roman" w:eastAsiaTheme="minorEastAsia"/>
          <w:sz w:val="24"/>
          <w:szCs w:val="24"/>
          <w:lang w:eastAsia="zh-CN"/>
        </w:rPr>
        <w:t>, conventional linear regression frameworks fall short of accurately capturing their dynamic evolution. Therefore, we introduces Generalized Additive Models (GAMs) to flexibly fit the non-linear responses of different vertebrate taxa to wildfire burn severity</w:t>
      </w:r>
      <w:r>
        <w:rPr>
          <w:rFonts w:ascii="Times New Roman" w:hAnsi="Times New Roman" w:eastAsiaTheme="minorEastAsia"/>
          <w:sz w:val="24"/>
          <w:szCs w:val="24"/>
          <w:lang w:eastAsia="zh-CN"/>
        </w:rPr>
        <w:fldChar w:fldCharType="begin"/>
      </w:r>
      <w:r>
        <w:rPr>
          <w:rFonts w:ascii="Times New Roman" w:hAnsi="Times New Roman" w:eastAsiaTheme="minorEastAsia"/>
          <w:sz w:val="24"/>
          <w:szCs w:val="24"/>
          <w:lang w:eastAsia="zh-CN"/>
        </w:rPr>
        <w:instrText xml:space="preserve"> ADDIN ZOTERO_ITEM CSL_CITATION {"citationID":"LqW60ZNW","properties":{"unsorted":false,"formattedCitation":"(Wood, 2017)","plainCitation":"(Wood, 2017)","noteIndex":0},"citationItems":[{"id":478,"uris":["http://zotero.org/users/17543282/items/WZR94KKL"],"itemData":{"id":478,"type":"book","abstract":"The first edition of this book has established itself as one of the leading references on generalized additive models (GAMs), and the only book on the topic to be introductory in nature with a wealth of practical examples and software implementation. It is self-contained, providing the necessary background in linear models, linear mixed models, and generalized linear models (GLMs), before presenting a balanced treatment of the theory and applications of GAMs and related models. \n\nThe author bases his approach on a framework of penalized regression splines, and while firmly focused on the practical aspects of GAMs, discussions include fairly full explanations of the theory underlying the methods. Use of R software helps explain the theory and illustrates the practical application of the methodology. Each chapter contains an extensive set of exercises, with solutions in an appendix or in the book’s R data package gamair, to enable use as a course text or for self-study.","DOI":"10.1201/9781315370279","edition":"2","ISBN":"978-1-315-37027-9","number-of-pages":"496","publisher":"Chapman and Hall/CRC","publisher-place":"New York","title":"Generalized Additive Models: An Introduction with R, Second Edition","title-short":"Generalized Additive Models","author":[{"family":"Wood","given":"Simon N."}],"issued":{"date-parts":[["2017",5,18]]}}}],"schema":"https://github.com/citation-style-language/schema/raw/master/csl-citation.json"} </w:instrText>
      </w:r>
      <w:r>
        <w:rPr>
          <w:rFonts w:ascii="Times New Roman" w:hAnsi="Times New Roman" w:eastAsiaTheme="minorEastAsia"/>
          <w:sz w:val="24"/>
          <w:szCs w:val="24"/>
          <w:lang w:eastAsia="zh-CN"/>
        </w:rPr>
        <w:fldChar w:fldCharType="separate"/>
      </w:r>
      <w:r>
        <w:rPr>
          <w:rFonts w:ascii="Times New Roman" w:hAnsi="Times New Roman" w:eastAsiaTheme="minorEastAsia"/>
          <w:sz w:val="24"/>
        </w:rPr>
        <w:t>(Wood, 2017)</w:t>
      </w:r>
      <w:r>
        <w:rPr>
          <w:rFonts w:ascii="Times New Roman" w:hAnsi="Times New Roman" w:eastAsiaTheme="minorEastAsia"/>
          <w:sz w:val="24"/>
          <w:szCs w:val="24"/>
          <w:lang w:eastAsia="zh-CN"/>
        </w:rPr>
        <w:fldChar w:fldCharType="end"/>
      </w:r>
      <w:r>
        <w:rPr>
          <w:rFonts w:ascii="Times New Roman" w:hAnsi="Times New Roman" w:eastAsiaTheme="minorEastAsia"/>
          <w:sz w:val="24"/>
          <w:szCs w:val="24"/>
          <w:lang w:eastAsia="zh-CN"/>
        </w:rPr>
        <w:t>. GAMs establish a non-linear, non-parametric relationship between the explanatory variables and the expected value of the dependent variable through non-parametric smoothing functions, expressed mathematically as follows:</w:t>
      </w:r>
    </w:p>
    <w:p w14:paraId="642DCEC8">
      <w:pPr>
        <w:pStyle w:val="33"/>
        <w:spacing w:line="240" w:lineRule="auto"/>
        <w:ind w:left="0" w:firstLine="0"/>
        <w:rPr>
          <w:rFonts w:ascii="Times New Roman" w:hAnsi="Times New Roman" w:eastAsiaTheme="minorEastAsia"/>
          <w:sz w:val="24"/>
          <w:szCs w:val="24"/>
          <w:lang w:eastAsia="zh-CN"/>
        </w:rPr>
      </w:pPr>
      <m:oMathPara>
        <m:oMath>
          <m:eqArr>
            <m:eqArrPr>
              <m:maxDist m:val="1"/>
              <m:ctrlPr>
                <w:rPr>
                  <w:rFonts w:ascii="Cambria Math" w:hAnsi="Cambria Math" w:eastAsiaTheme="minorEastAsia"/>
                  <w:i/>
                  <w:sz w:val="24"/>
                  <w:szCs w:val="24"/>
                  <w:lang w:eastAsia="zh-CN"/>
                </w:rPr>
              </m:ctrlPr>
            </m:eqArrPr>
            <m:e>
              <m:r>
                <m:rPr/>
                <w:rPr>
                  <w:rFonts w:ascii="Cambria Math" w:hAnsi="Cambria Math" w:eastAsiaTheme="minorEastAsia"/>
                  <w:sz w:val="24"/>
                  <w:szCs w:val="24"/>
                  <w:lang w:eastAsia="zh-CN"/>
                </w:rPr>
                <m:t>g</m:t>
              </m:r>
              <m:d>
                <m:dPr>
                  <m:ctrlPr>
                    <w:rPr>
                      <w:rFonts w:ascii="Cambria Math" w:hAnsi="Cambria Math" w:eastAsiaTheme="minorEastAsia"/>
                      <w:i/>
                      <w:sz w:val="24"/>
                      <w:szCs w:val="24"/>
                      <w:lang w:eastAsia="zh-CN"/>
                    </w:rPr>
                  </m:ctrlPr>
                </m:dPr>
                <m:e>
                  <m:r>
                    <m:rPr/>
                    <w:rPr>
                      <w:rFonts w:ascii="Cambria Math" w:hAnsi="Cambria Math" w:eastAsiaTheme="minorEastAsia"/>
                      <w:sz w:val="24"/>
                      <w:szCs w:val="24"/>
                      <w:lang w:eastAsia="zh-CN"/>
                    </w:rPr>
                    <m:t>E</m:t>
                  </m:r>
                  <m:d>
                    <m:dPr>
                      <m:ctrlPr>
                        <w:rPr>
                          <w:rFonts w:ascii="Cambria Math" w:hAnsi="Cambria Math" w:eastAsiaTheme="minorEastAsia"/>
                          <w:i/>
                          <w:sz w:val="24"/>
                          <w:szCs w:val="24"/>
                          <w:lang w:eastAsia="zh-CN"/>
                        </w:rPr>
                      </m:ctrlPr>
                    </m:dPr>
                    <m:e>
                      <m:r>
                        <m:rPr/>
                        <w:rPr>
                          <w:rFonts w:ascii="Cambria Math" w:hAnsi="Cambria Math" w:eastAsiaTheme="minorEastAsia"/>
                          <w:sz w:val="24"/>
                          <w:szCs w:val="24"/>
                          <w:lang w:eastAsia="zh-CN"/>
                        </w:rPr>
                        <m:t>Y</m:t>
                      </m:r>
                      <m:ctrlPr>
                        <w:rPr>
                          <w:rFonts w:ascii="Cambria Math" w:hAnsi="Cambria Math" w:eastAsiaTheme="minorEastAsia"/>
                          <w:i/>
                          <w:sz w:val="24"/>
                          <w:szCs w:val="24"/>
                          <w:lang w:eastAsia="zh-CN"/>
                        </w:rPr>
                      </m:ctrlPr>
                    </m:e>
                  </m:d>
                  <m:ctrlPr>
                    <w:rPr>
                      <w:rFonts w:ascii="Cambria Math" w:hAnsi="Cambria Math" w:eastAsiaTheme="minorEastAsia"/>
                      <w:i/>
                      <w:sz w:val="24"/>
                      <w:szCs w:val="24"/>
                      <w:lang w:eastAsia="zh-CN"/>
                    </w:rPr>
                  </m:ctrlPr>
                </m:e>
              </m:d>
              <m:r>
                <m:rPr/>
                <w:rPr>
                  <w:rFonts w:ascii="Cambria Math" w:hAnsi="Cambria Math" w:eastAsiaTheme="minorEastAsia"/>
                  <w:sz w:val="24"/>
                  <w:szCs w:val="24"/>
                  <w:lang w:eastAsia="zh-CN"/>
                </w:rPr>
                <m:t>=</m:t>
              </m:r>
              <w:bookmarkStart w:id="0" w:name="_Hlk232089270"/>
              <m:sSub>
                <m:sSubPr>
                  <m:ctrlPr>
                    <w:rPr>
                      <w:rFonts w:ascii="Cambria Math" w:hAnsi="Cambria Math" w:eastAsiaTheme="minorEastAsia"/>
                      <w:i/>
                      <w:sz w:val="24"/>
                      <w:szCs w:val="24"/>
                      <w:lang w:eastAsia="zh-CN"/>
                    </w:rPr>
                  </m:ctrlPr>
                </m:sSubPr>
                <m:e>
                  <m:r>
                    <m:rPr/>
                    <w:rPr>
                      <w:rFonts w:ascii="Cambria Math" w:hAnsi="Cambria Math" w:eastAsiaTheme="minorEastAsia"/>
                      <w:sz w:val="24"/>
                      <w:szCs w:val="24"/>
                      <w:lang w:eastAsia="zh-CN"/>
                    </w:rPr>
                    <m:t>β</m:t>
                  </m:r>
                  <m:ctrlPr>
                    <w:rPr>
                      <w:rFonts w:ascii="Cambria Math" w:hAnsi="Cambria Math" w:eastAsiaTheme="minorEastAsia"/>
                      <w:i/>
                      <w:sz w:val="24"/>
                      <w:szCs w:val="24"/>
                      <w:lang w:eastAsia="zh-CN"/>
                    </w:rPr>
                  </m:ctrlPr>
                </m:e>
                <m:sub>
                  <m:r>
                    <m:rPr/>
                    <w:rPr>
                      <w:rFonts w:ascii="Cambria Math" w:hAnsi="Cambria Math" w:eastAsiaTheme="minorEastAsia"/>
                      <w:sz w:val="24"/>
                      <w:szCs w:val="24"/>
                      <w:lang w:eastAsia="zh-CN"/>
                    </w:rPr>
                    <m:t>0</m:t>
                  </m:r>
                  <m:ctrlPr>
                    <w:rPr>
                      <w:rFonts w:ascii="Cambria Math" w:hAnsi="Cambria Math" w:eastAsiaTheme="minorEastAsia"/>
                      <w:i/>
                      <w:sz w:val="24"/>
                      <w:szCs w:val="24"/>
                      <w:lang w:eastAsia="zh-CN"/>
                    </w:rPr>
                  </m:ctrlPr>
                </m:sub>
              </m:sSub>
              <w:bookmarkEnd w:id="0"/>
              <m:r>
                <m:rPr/>
                <w:rPr>
                  <w:rFonts w:ascii="Cambria Math" w:hAnsi="Cambria Math" w:eastAsiaTheme="minorEastAsia"/>
                  <w:sz w:val="24"/>
                  <w:szCs w:val="24"/>
                  <w:lang w:eastAsia="zh-CN"/>
                </w:rPr>
                <m:t>+</m:t>
              </m:r>
              <m:nary>
                <m:naryPr>
                  <m:chr m:val="∑"/>
                  <m:limLoc m:val="undOvr"/>
                  <m:ctrlPr>
                    <w:rPr>
                      <w:rFonts w:ascii="Cambria Math" w:hAnsi="Cambria Math" w:eastAsiaTheme="minorEastAsia"/>
                      <w:i/>
                      <w:sz w:val="24"/>
                      <w:szCs w:val="24"/>
                      <w:lang w:eastAsia="zh-CN"/>
                    </w:rPr>
                  </m:ctrlPr>
                </m:naryPr>
                <m:sub>
                  <m:r>
                    <m:rPr/>
                    <w:rPr>
                      <w:rFonts w:ascii="Cambria Math" w:hAnsi="Cambria Math" w:eastAsiaTheme="minorEastAsia"/>
                      <w:sz w:val="24"/>
                      <w:szCs w:val="24"/>
                      <w:lang w:eastAsia="zh-CN"/>
                    </w:rPr>
                    <m:t>j=1</m:t>
                  </m:r>
                  <m:ctrlPr>
                    <w:rPr>
                      <w:rFonts w:ascii="Cambria Math" w:hAnsi="Cambria Math" w:eastAsiaTheme="minorEastAsia"/>
                      <w:i/>
                      <w:sz w:val="24"/>
                      <w:szCs w:val="24"/>
                      <w:lang w:eastAsia="zh-CN"/>
                    </w:rPr>
                  </m:ctrlPr>
                </m:sub>
                <m:sup>
                  <m:r>
                    <m:rPr/>
                    <w:rPr>
                      <w:rFonts w:ascii="Cambria Math" w:hAnsi="Cambria Math" w:eastAsiaTheme="minorEastAsia"/>
                      <w:sz w:val="24"/>
                      <w:szCs w:val="24"/>
                      <w:lang w:eastAsia="zh-CN"/>
                    </w:rPr>
                    <m:t>p</m:t>
                  </m:r>
                  <m:ctrlPr>
                    <w:rPr>
                      <w:rFonts w:ascii="Cambria Math" w:hAnsi="Cambria Math" w:eastAsiaTheme="minorEastAsia"/>
                      <w:i/>
                      <w:sz w:val="24"/>
                      <w:szCs w:val="24"/>
                      <w:lang w:eastAsia="zh-CN"/>
                    </w:rPr>
                  </m:ctrlPr>
                </m:sup>
                <m:e>
                  <m:sSub>
                    <m:sSubPr>
                      <m:ctrlPr>
                        <w:rPr>
                          <w:rFonts w:ascii="Cambria Math" w:hAnsi="Cambria Math" w:eastAsiaTheme="minorEastAsia"/>
                          <w:i/>
                          <w:sz w:val="24"/>
                          <w:szCs w:val="24"/>
                          <w:lang w:eastAsia="zh-CN"/>
                        </w:rPr>
                      </m:ctrlPr>
                    </m:sSubPr>
                    <m:e>
                      <m:r>
                        <m:rPr/>
                        <w:rPr>
                          <w:rFonts w:ascii="Cambria Math" w:hAnsi="Cambria Math" w:eastAsiaTheme="minorEastAsia"/>
                          <w:sz w:val="24"/>
                          <w:szCs w:val="24"/>
                          <w:lang w:eastAsia="zh-CN"/>
                        </w:rPr>
                        <m:t>s</m:t>
                      </m:r>
                      <m:ctrlPr>
                        <w:rPr>
                          <w:rFonts w:ascii="Cambria Math" w:hAnsi="Cambria Math" w:eastAsiaTheme="minorEastAsia"/>
                          <w:i/>
                          <w:sz w:val="24"/>
                          <w:szCs w:val="24"/>
                          <w:lang w:eastAsia="zh-CN"/>
                        </w:rPr>
                      </m:ctrlPr>
                    </m:e>
                    <m:sub>
                      <m:r>
                        <m:rPr/>
                        <w:rPr>
                          <w:rFonts w:ascii="Cambria Math" w:hAnsi="Cambria Math" w:eastAsiaTheme="minorEastAsia"/>
                          <w:sz w:val="24"/>
                          <w:szCs w:val="24"/>
                          <w:lang w:eastAsia="zh-CN"/>
                        </w:rPr>
                        <m:t>j</m:t>
                      </m:r>
                      <m:ctrlPr>
                        <w:rPr>
                          <w:rFonts w:ascii="Cambria Math" w:hAnsi="Cambria Math" w:eastAsiaTheme="minorEastAsia"/>
                          <w:i/>
                          <w:sz w:val="24"/>
                          <w:szCs w:val="24"/>
                          <w:lang w:eastAsia="zh-CN"/>
                        </w:rPr>
                      </m:ctrlPr>
                    </m:sub>
                  </m:sSub>
                  <m:d>
                    <m:dPr>
                      <m:ctrlPr>
                        <w:rPr>
                          <w:rFonts w:ascii="Cambria Math" w:hAnsi="Cambria Math" w:eastAsiaTheme="minorEastAsia"/>
                          <w:i/>
                          <w:sz w:val="24"/>
                          <w:szCs w:val="24"/>
                          <w:lang w:eastAsia="zh-CN"/>
                        </w:rPr>
                      </m:ctrlPr>
                    </m:dPr>
                    <m:e>
                      <m:sSub>
                        <m:sSubPr>
                          <m:ctrlPr>
                            <w:rPr>
                              <w:rFonts w:ascii="Cambria Math" w:hAnsi="Cambria Math" w:eastAsiaTheme="minorEastAsia"/>
                              <w:i/>
                              <w:sz w:val="24"/>
                              <w:szCs w:val="24"/>
                              <w:lang w:eastAsia="zh-CN"/>
                            </w:rPr>
                          </m:ctrlPr>
                        </m:sSubPr>
                        <m:e>
                          <m:r>
                            <m:rPr/>
                            <w:rPr>
                              <w:rFonts w:ascii="Cambria Math" w:hAnsi="Cambria Math" w:eastAsiaTheme="minorEastAsia"/>
                              <w:sz w:val="24"/>
                              <w:szCs w:val="24"/>
                              <w:lang w:eastAsia="zh-CN"/>
                            </w:rPr>
                            <m:t>X</m:t>
                          </m:r>
                          <m:ctrlPr>
                            <w:rPr>
                              <w:rFonts w:ascii="Cambria Math" w:hAnsi="Cambria Math" w:eastAsiaTheme="minorEastAsia"/>
                              <w:i/>
                              <w:sz w:val="24"/>
                              <w:szCs w:val="24"/>
                              <w:lang w:eastAsia="zh-CN"/>
                            </w:rPr>
                          </m:ctrlPr>
                        </m:e>
                        <m:sub>
                          <m:r>
                            <m:rPr/>
                            <w:rPr>
                              <w:rFonts w:ascii="Cambria Math" w:hAnsi="Cambria Math" w:eastAsiaTheme="minorEastAsia"/>
                              <w:sz w:val="24"/>
                              <w:szCs w:val="24"/>
                              <w:lang w:eastAsia="zh-CN"/>
                            </w:rPr>
                            <m:t>j</m:t>
                          </m:r>
                          <m:ctrlPr>
                            <w:rPr>
                              <w:rFonts w:ascii="Cambria Math" w:hAnsi="Cambria Math" w:eastAsiaTheme="minorEastAsia"/>
                              <w:i/>
                              <w:sz w:val="24"/>
                              <w:szCs w:val="24"/>
                              <w:lang w:eastAsia="zh-CN"/>
                            </w:rPr>
                          </m:ctrlPr>
                        </m:sub>
                      </m:sSub>
                      <m:ctrlPr>
                        <w:rPr>
                          <w:rFonts w:ascii="Cambria Math" w:hAnsi="Cambria Math" w:eastAsiaTheme="minorEastAsia"/>
                          <w:i/>
                          <w:sz w:val="24"/>
                          <w:szCs w:val="24"/>
                          <w:lang w:eastAsia="zh-CN"/>
                        </w:rPr>
                      </m:ctrlPr>
                    </m:e>
                  </m:d>
                  <m:ctrlPr>
                    <w:rPr>
                      <w:rFonts w:ascii="Cambria Math" w:hAnsi="Cambria Math" w:eastAsiaTheme="minorEastAsia"/>
                      <w:i/>
                      <w:sz w:val="24"/>
                      <w:szCs w:val="24"/>
                      <w:lang w:eastAsia="zh-CN"/>
                    </w:rPr>
                  </m:ctrlPr>
                </m:e>
              </m:nary>
              <m:r>
                <m:rPr/>
                <w:rPr>
                  <w:rFonts w:ascii="Cambria Math" w:hAnsi="Cambria Math" w:eastAsiaTheme="minorEastAsia"/>
                  <w:sz w:val="24"/>
                  <w:szCs w:val="24"/>
                  <w:lang w:eastAsia="zh-CN"/>
                </w:rPr>
                <m:t>#</m:t>
              </m:r>
              <m:d>
                <m:dPr>
                  <m:ctrlPr>
                    <w:rPr>
                      <w:rFonts w:ascii="Cambria Math" w:hAnsi="Cambria Math" w:eastAsiaTheme="minorEastAsia"/>
                      <w:i/>
                      <w:sz w:val="24"/>
                      <w:szCs w:val="24"/>
                      <w:lang w:eastAsia="zh-CN"/>
                    </w:rPr>
                  </m:ctrlPr>
                </m:dPr>
                <m:e>
                  <m:r>
                    <m:rPr/>
                    <w:rPr>
                      <w:rFonts w:ascii="Cambria Math" w:hAnsi="Cambria Math" w:eastAsiaTheme="minorEastAsia"/>
                      <w:sz w:val="24"/>
                      <w:szCs w:val="24"/>
                      <w:lang w:eastAsia="zh-CN"/>
                    </w:rPr>
                    <m:t>5</m:t>
                  </m:r>
                  <m:ctrlPr>
                    <w:rPr>
                      <w:rFonts w:ascii="Cambria Math" w:hAnsi="Cambria Math" w:eastAsiaTheme="minorEastAsia"/>
                      <w:i/>
                      <w:sz w:val="24"/>
                      <w:szCs w:val="24"/>
                      <w:lang w:eastAsia="zh-CN"/>
                    </w:rPr>
                  </m:ctrlPr>
                </m:e>
              </m:d>
              <m:ctrlPr>
                <w:rPr>
                  <w:rFonts w:ascii="Cambria Math" w:hAnsi="Cambria Math" w:eastAsiaTheme="minorEastAsia"/>
                  <w:i/>
                  <w:sz w:val="24"/>
                  <w:szCs w:val="24"/>
                  <w:lang w:eastAsia="zh-CN"/>
                </w:rPr>
              </m:ctrlPr>
            </m:e>
          </m:eqArr>
        </m:oMath>
      </m:oMathPara>
    </w:p>
    <w:p w14:paraId="3DC3B53A">
      <w:pPr>
        <w:pStyle w:val="33"/>
        <w:spacing w:line="240" w:lineRule="auto"/>
        <w:ind w:left="0" w:firstLine="0"/>
        <w:rPr>
          <w:rFonts w:ascii="Times New Roman" w:hAnsi="Times New Roman" w:eastAsiaTheme="minorEastAsia"/>
          <w:sz w:val="24"/>
          <w:szCs w:val="24"/>
          <w:lang w:eastAsia="zh-CN"/>
        </w:rPr>
      </w:pPr>
      <w:r>
        <w:rPr>
          <w:rFonts w:ascii="Times New Roman" w:hAnsi="Times New Roman" w:eastAsiaTheme="minorEastAsia"/>
          <w:sz w:val="24"/>
          <w:szCs w:val="24"/>
          <w:lang w:eastAsia="zh-CN"/>
        </w:rPr>
        <w:t>where Y represents the dependent variable, E(Y) is the expected value of the dependent variable</w:t>
      </w:r>
      <w:r>
        <w:rPr>
          <w:rFonts w:hint="eastAsia" w:ascii="Times New Roman" w:hAnsi="Times New Roman" w:eastAsiaTheme="minorEastAsia"/>
          <w:sz w:val="24"/>
          <w:szCs w:val="24"/>
          <w:lang w:eastAsia="zh-CN"/>
        </w:rPr>
        <w:t>,</w:t>
      </w:r>
      <w:r>
        <w:rPr>
          <w:rFonts w:ascii="Times New Roman" w:hAnsi="Times New Roman" w:eastAsiaTheme="minorEastAsia"/>
          <w:sz w:val="24"/>
          <w:szCs w:val="24"/>
          <w:lang w:eastAsia="zh-CN"/>
        </w:rPr>
        <w:t xml:space="preserve"> g(·) is the link function, implemented here as the identity link given the operational data characteristics</w:t>
      </w:r>
      <w:r>
        <w:rPr>
          <w:rFonts w:hint="eastAsia" w:ascii="Times New Roman" w:hAnsi="Times New Roman" w:eastAsiaTheme="minorEastAsia"/>
          <w:sz w:val="24"/>
          <w:szCs w:val="24"/>
          <w:lang w:eastAsia="zh-CN"/>
        </w:rPr>
        <w:t>,</w:t>
      </w:r>
      <w:r>
        <w:rPr>
          <w:rFonts w:ascii="Times New Roman" w:hAnsi="Times New Roman" w:eastAsiaTheme="minorEastAsia"/>
          <w:sz w:val="24"/>
          <w:szCs w:val="24"/>
          <w:lang w:eastAsia="zh-CN"/>
        </w:rPr>
        <w:t xml:space="preserve"> </w:t>
      </w:r>
      <m:oMath>
        <m:sSub>
          <m:sSubPr>
            <m:ctrlPr>
              <w:rPr>
                <w:rFonts w:ascii="Cambria Math" w:hAnsi="Cambria Math" w:eastAsiaTheme="minorEastAsia"/>
                <w:i/>
                <w:sz w:val="24"/>
                <w:szCs w:val="24"/>
                <w:lang w:eastAsia="zh-CN"/>
              </w:rPr>
            </m:ctrlPr>
          </m:sSubPr>
          <m:e>
            <m:r>
              <m:rPr/>
              <w:rPr>
                <w:rFonts w:ascii="Cambria Math" w:hAnsi="Cambria Math" w:eastAsiaTheme="minorEastAsia"/>
                <w:sz w:val="24"/>
                <w:szCs w:val="24"/>
                <w:lang w:eastAsia="zh-CN"/>
              </w:rPr>
              <m:t>β</m:t>
            </m:r>
            <m:ctrlPr>
              <w:rPr>
                <w:rFonts w:ascii="Cambria Math" w:hAnsi="Cambria Math" w:eastAsiaTheme="minorEastAsia"/>
                <w:i/>
                <w:sz w:val="24"/>
                <w:szCs w:val="24"/>
                <w:lang w:eastAsia="zh-CN"/>
              </w:rPr>
            </m:ctrlPr>
          </m:e>
          <m:sub>
            <m:r>
              <m:rPr/>
              <w:rPr>
                <w:rFonts w:ascii="Cambria Math" w:hAnsi="Cambria Math" w:eastAsiaTheme="minorEastAsia"/>
                <w:sz w:val="24"/>
                <w:szCs w:val="24"/>
                <w:lang w:eastAsia="zh-CN"/>
              </w:rPr>
              <m:t>0</m:t>
            </m:r>
            <m:ctrlPr>
              <w:rPr>
                <w:rFonts w:ascii="Cambria Math" w:hAnsi="Cambria Math" w:eastAsiaTheme="minorEastAsia"/>
                <w:i/>
                <w:sz w:val="24"/>
                <w:szCs w:val="24"/>
                <w:lang w:eastAsia="zh-CN"/>
              </w:rPr>
            </m:ctrlPr>
          </m:sub>
        </m:sSub>
        <m:r>
          <m:rPr/>
          <w:rPr>
            <w:rFonts w:ascii="Cambria Math" w:hAnsi="Cambria Math" w:eastAsiaTheme="minorEastAsia"/>
            <w:sz w:val="24"/>
            <w:szCs w:val="24"/>
            <w:lang w:eastAsia="zh-CN"/>
          </w:rPr>
          <m:t xml:space="preserve"> </m:t>
        </m:r>
      </m:oMath>
      <w:r>
        <w:rPr>
          <w:rFonts w:ascii="Times New Roman" w:hAnsi="Times New Roman" w:eastAsiaTheme="minorEastAsia"/>
          <w:sz w:val="24"/>
          <w:szCs w:val="24"/>
          <w:lang w:eastAsia="zh-CN"/>
        </w:rPr>
        <w:t>is the global intercept</w:t>
      </w:r>
      <w:r>
        <w:rPr>
          <w:rFonts w:hint="eastAsia" w:ascii="Times New Roman" w:hAnsi="Times New Roman" w:eastAsiaTheme="minorEastAsia"/>
          <w:sz w:val="24"/>
          <w:szCs w:val="24"/>
          <w:lang w:eastAsia="zh-CN"/>
        </w:rPr>
        <w:t>,</w:t>
      </w:r>
      <w:r>
        <w:rPr>
          <w:rFonts w:ascii="Times New Roman" w:hAnsi="Times New Roman" w:eastAsiaTheme="minorEastAsia"/>
          <w:sz w:val="24"/>
          <w:szCs w:val="24"/>
          <w:lang w:eastAsia="zh-CN"/>
        </w:rPr>
        <w:t xml:space="preserve"> </w:t>
      </w:r>
      <m:oMath>
        <m:sSub>
          <m:sSubPr>
            <m:ctrlPr>
              <w:rPr>
                <w:rFonts w:ascii="Cambria Math" w:hAnsi="Cambria Math" w:eastAsiaTheme="minorEastAsia"/>
                <w:i/>
                <w:sz w:val="24"/>
                <w:szCs w:val="24"/>
                <w:lang w:eastAsia="zh-CN"/>
              </w:rPr>
            </m:ctrlPr>
          </m:sSubPr>
          <m:e>
            <m:r>
              <m:rPr/>
              <w:rPr>
                <w:rFonts w:ascii="Cambria Math" w:hAnsi="Cambria Math" w:eastAsiaTheme="minorEastAsia"/>
                <w:sz w:val="24"/>
                <w:szCs w:val="24"/>
                <w:lang w:eastAsia="zh-CN"/>
              </w:rPr>
              <m:t>X</m:t>
            </m:r>
            <m:ctrlPr>
              <w:rPr>
                <w:rFonts w:ascii="Cambria Math" w:hAnsi="Cambria Math" w:eastAsiaTheme="minorEastAsia"/>
                <w:i/>
                <w:sz w:val="24"/>
                <w:szCs w:val="24"/>
                <w:lang w:eastAsia="zh-CN"/>
              </w:rPr>
            </m:ctrlPr>
          </m:e>
          <m:sub>
            <m:r>
              <m:rPr/>
              <w:rPr>
                <w:rFonts w:ascii="Cambria Math" w:hAnsi="Cambria Math" w:eastAsiaTheme="minorEastAsia"/>
                <w:sz w:val="24"/>
                <w:szCs w:val="24"/>
                <w:lang w:eastAsia="zh-CN"/>
              </w:rPr>
              <m:t>j</m:t>
            </m:r>
            <m:ctrlPr>
              <w:rPr>
                <w:rFonts w:ascii="Cambria Math" w:hAnsi="Cambria Math" w:eastAsiaTheme="minorEastAsia"/>
                <w:i/>
                <w:sz w:val="24"/>
                <w:szCs w:val="24"/>
                <w:lang w:eastAsia="zh-CN"/>
              </w:rPr>
            </m:ctrlPr>
          </m:sub>
        </m:sSub>
      </m:oMath>
      <w:r>
        <w:rPr>
          <w:rFonts w:ascii="Times New Roman" w:hAnsi="Times New Roman" w:eastAsiaTheme="minorEastAsia"/>
          <w:sz w:val="24"/>
          <w:szCs w:val="24"/>
          <w:lang w:eastAsia="zh-CN"/>
        </w:rPr>
        <w:t xml:space="preserve"> denotes the explanatory variables, with the core predictor being wildfire burn severity (dNBR)</w:t>
      </w:r>
      <w:r>
        <w:rPr>
          <w:rFonts w:hint="eastAsia" w:ascii="Times New Roman" w:hAnsi="Times New Roman" w:eastAsiaTheme="minorEastAsia"/>
          <w:sz w:val="24"/>
          <w:szCs w:val="24"/>
          <w:lang w:eastAsia="zh-CN"/>
        </w:rPr>
        <w:t>,</w:t>
      </w:r>
      <w:r>
        <w:rPr>
          <w:rFonts w:ascii="Times New Roman" w:hAnsi="Times New Roman" w:eastAsiaTheme="minorEastAsia"/>
          <w:sz w:val="24"/>
          <w:szCs w:val="24"/>
          <w:lang w:eastAsia="zh-CN"/>
        </w:rPr>
        <w:t xml:space="preserve"> and </w:t>
      </w:r>
      <m:oMath>
        <m:sSub>
          <m:sSubPr>
            <m:ctrlPr>
              <w:rPr>
                <w:rFonts w:ascii="Cambria Math" w:hAnsi="Cambria Math" w:eastAsiaTheme="minorEastAsia"/>
                <w:i/>
                <w:sz w:val="24"/>
                <w:szCs w:val="24"/>
                <w:lang w:eastAsia="zh-CN"/>
              </w:rPr>
            </m:ctrlPr>
          </m:sSubPr>
          <m:e>
            <m:r>
              <m:rPr/>
              <w:rPr>
                <w:rFonts w:ascii="Cambria Math" w:hAnsi="Cambria Math" w:eastAsiaTheme="minorEastAsia"/>
                <w:sz w:val="24"/>
                <w:szCs w:val="24"/>
                <w:lang w:eastAsia="zh-CN"/>
              </w:rPr>
              <m:t>s</m:t>
            </m:r>
            <m:ctrlPr>
              <w:rPr>
                <w:rFonts w:ascii="Cambria Math" w:hAnsi="Cambria Math" w:eastAsiaTheme="minorEastAsia"/>
                <w:i/>
                <w:sz w:val="24"/>
                <w:szCs w:val="24"/>
                <w:lang w:eastAsia="zh-CN"/>
              </w:rPr>
            </m:ctrlPr>
          </m:e>
          <m:sub>
            <m:r>
              <m:rPr/>
              <w:rPr>
                <w:rFonts w:ascii="Cambria Math" w:hAnsi="Cambria Math" w:eastAsiaTheme="minorEastAsia"/>
                <w:sz w:val="24"/>
                <w:szCs w:val="24"/>
                <w:lang w:eastAsia="zh-CN"/>
              </w:rPr>
              <m:t>j</m:t>
            </m:r>
            <m:ctrlPr>
              <w:rPr>
                <w:rFonts w:ascii="Cambria Math" w:hAnsi="Cambria Math" w:eastAsiaTheme="minorEastAsia"/>
                <w:i/>
                <w:sz w:val="24"/>
                <w:szCs w:val="24"/>
                <w:lang w:eastAsia="zh-CN"/>
              </w:rPr>
            </m:ctrlPr>
          </m:sub>
        </m:sSub>
      </m:oMath>
      <w:r>
        <w:rPr>
          <w:rFonts w:ascii="Times New Roman" w:hAnsi="Times New Roman" w:eastAsiaTheme="minorEastAsia"/>
          <w:sz w:val="24"/>
          <w:szCs w:val="24"/>
          <w:lang w:eastAsia="zh-CN"/>
        </w:rPr>
        <w:t>(·) represents the smoothing spline function characterizing the non-linear response relationship. To prevent model overfitting and ensure objective smoothing estimation, thin plate regression splines are utilized as base functions, with the optimal estimated degrees of freedom (EDF) automatically selected based on the Generalized Cross-Validation (GCV) criterion</w:t>
      </w:r>
      <w:r>
        <w:rPr>
          <w:rFonts w:ascii="Times New Roman" w:hAnsi="Times New Roman" w:eastAsiaTheme="minorEastAsia"/>
          <w:sz w:val="24"/>
          <w:szCs w:val="24"/>
          <w:lang w:eastAsia="zh-CN"/>
        </w:rPr>
        <w:fldChar w:fldCharType="begin"/>
      </w:r>
      <w:r>
        <w:rPr>
          <w:rFonts w:ascii="Times New Roman" w:hAnsi="Times New Roman" w:eastAsiaTheme="minorEastAsia"/>
          <w:sz w:val="24"/>
          <w:szCs w:val="24"/>
          <w:lang w:eastAsia="zh-CN"/>
        </w:rPr>
        <w:instrText xml:space="preserve"> ADDIN ZOTERO_ITEM CSL_CITATION {"citationID":"rlO3q2lo","properties":{"unsorted":false,"formattedCitation":"(Wood, 2017)","plainCitation":"(Wood, 2017)","noteIndex":0},"citationItems":[{"id":478,"uris":["http://zotero.org/users/17543282/items/WZR94KKL"],"itemData":{"id":478,"type":"book","abstract":"The first edition of this book has established itself as one of the leading references on generalized additive models (GAMs), and the only book on the topic to be introductory in nature with a wealth of practical examples and software implementation. It is self-contained, providing the necessary background in linear models, linear mixed models, and generalized linear models (GLMs), before presenting a balanced treatment of the theory and applications of GAMs and related models. \n\nThe author bases his approach on a framework of penalized regression splines, and while firmly focused on the practical aspects of GAMs, discussions include fairly full explanations of the theory underlying the methods. Use of R software helps explain the theory and illustrates the practical application of the methodology. Each chapter contains an extensive set of exercises, with solutions in an appendix or in the book’s R data package gamair, to enable use as a course text or for self-study.","DOI":"10.1201/9781315370279","edition":"2","ISBN":"978-1-315-37027-9","number-of-pages":"496","publisher":"Chapman and Hall/CRC","publisher-place":"New York","title":"Generalized Additive Models: An Introduction with R, Second Edition","title-short":"Generalized Additive Models","author":[{"family":"Wood","given":"Simon N."}],"issued":{"date-parts":[["2017",5,18]]}}}],"schema":"https://github.com/citation-style-language/schema/raw/master/csl-citation.json"} </w:instrText>
      </w:r>
      <w:r>
        <w:rPr>
          <w:rFonts w:ascii="Times New Roman" w:hAnsi="Times New Roman" w:eastAsiaTheme="minorEastAsia"/>
          <w:sz w:val="24"/>
          <w:szCs w:val="24"/>
          <w:lang w:eastAsia="zh-CN"/>
        </w:rPr>
        <w:fldChar w:fldCharType="separate"/>
      </w:r>
      <w:r>
        <w:rPr>
          <w:rFonts w:ascii="Times New Roman" w:hAnsi="Times New Roman" w:eastAsiaTheme="minorEastAsia"/>
          <w:sz w:val="24"/>
        </w:rPr>
        <w:t>(Wood, 2017)</w:t>
      </w:r>
      <w:r>
        <w:rPr>
          <w:rFonts w:ascii="Times New Roman" w:hAnsi="Times New Roman" w:eastAsiaTheme="minorEastAsia"/>
          <w:sz w:val="24"/>
          <w:szCs w:val="24"/>
          <w:lang w:eastAsia="zh-CN"/>
        </w:rPr>
        <w:fldChar w:fldCharType="end"/>
      </w:r>
      <w:r>
        <w:rPr>
          <w:rFonts w:ascii="Times New Roman" w:hAnsi="Times New Roman" w:eastAsiaTheme="minorEastAsia"/>
          <w:sz w:val="24"/>
          <w:szCs w:val="24"/>
          <w:lang w:eastAsia="zh-CN"/>
        </w:rPr>
        <w:t>.</w:t>
      </w:r>
    </w:p>
    <w:p w14:paraId="0B063DA9">
      <w:pPr>
        <w:pStyle w:val="33"/>
        <w:spacing w:line="240" w:lineRule="auto"/>
        <w:ind w:left="0" w:firstLine="0"/>
        <w:rPr>
          <w:rFonts w:ascii="Times New Roman" w:hAnsi="Times New Roman" w:eastAsiaTheme="minorEastAsia"/>
          <w:sz w:val="24"/>
          <w:szCs w:val="24"/>
          <w:lang w:eastAsia="zh-CN"/>
        </w:rPr>
      </w:pPr>
      <w:r>
        <w:rPr>
          <w:rFonts w:ascii="Times New Roman" w:hAnsi="Times New Roman" w:eastAsiaTheme="minorEastAsia"/>
          <w:sz w:val="24"/>
          <w:szCs w:val="24"/>
          <w:lang w:eastAsia="zh-CN"/>
        </w:rPr>
        <w:t>To precisely pinpoint the ecological tipping points where vertebrate community structures undergo fundamental transitions, the first derivatives of the fitted GAM smoothing curves are calculated. In ecological research, an ecological tipping point is typically defined either as the location where the sign of the first derivative switches, or where the absolute value of the first derivative reaches a local maximum, signifying the most abrupt rate of species reduction or gain</w:t>
      </w:r>
      <w:r>
        <w:rPr>
          <w:rFonts w:ascii="Times New Roman" w:hAnsi="Times New Roman" w:eastAsiaTheme="minorEastAsia"/>
          <w:sz w:val="24"/>
          <w:szCs w:val="24"/>
          <w:lang w:eastAsia="zh-CN"/>
        </w:rPr>
        <w:fldChar w:fldCharType="begin"/>
      </w:r>
      <w:r>
        <w:rPr>
          <w:rFonts w:ascii="Times New Roman" w:hAnsi="Times New Roman" w:eastAsiaTheme="minorEastAsia"/>
          <w:sz w:val="24"/>
          <w:szCs w:val="24"/>
          <w:lang w:eastAsia="zh-CN"/>
        </w:rPr>
        <w:instrText xml:space="preserve"> ADDIN ZOTERO_ITEM CSL_CITATION {"citationID":"SB0sy4PI","properties":{"unsorted":false,"formattedCitation":"(C. Wissel, 1984; Groffman et al., 2006)","plainCitation":"(C. Wissel, 1984; Groffman et al., 2006)","noteIndex":0},"citationItems":[{"id":490,"uris":["http://zotero.org/users/17543282/items/7RFZDFEB"],"itemData":{"id":490,"type":"article-journal","container-title":"Oecologia","DOI":"10.1007/BF00384470","issue":"1","page":"101-107","publisher":"Springer Nature","title":"A universal law of the characteristics return time near thresholds","volume":"65","author":[{"literal":"C. Wissel"}],"issued":{"date-parts":[["1984"]]}}},{"id":492,"uris":["http://zotero.org/users/17543282/items/BNVTMK6R"],"itemData":{"id":492,"type":"article-journal","abstract":"An ecological threshold is the point at which there is an abrupt change in an ecosystem quality, property or phenomenon, or where small changes in an environmental driver produce large responses in the ecosystem. Analysis of thresholds is complicated","container-title":"Ecosystems","DOI":"10.1007/S10021-003-0142-Z","ISSN":"1432-9840","issue":"1","page":"1","source":"www.academia.edu","title":"Ecological Thresholds: The Key to Successful Environmental Management or an Important Concept with No Practical Application?","title-short":"Ecological Thresholds","volume":"9","author":[{"family":"Groffman","given":"Peter M."},{"family":"Baron","given":"Jill S."},{"family":"Blett","given":"Tamara"},{"family":"Gold","given":"Arthur J."},{"family":"Goodman","given":"Iris"},{"family":"Gunderson","given":"Lance H."},{"family":"Levinson","given":"Barbara M."},{"family":"Palmer","given":"Margaret A."},{"family":"Paerl","given":"Hans W."},{"family":"Peterson","given":"Garry D."},{"family":"Poff","given":"N. LeRoy"},{"family":"Rejeski","given":"David W."},{"family":"Reynolds","given":"James F."},{"family":"Turner","given":"Monica G."},{"family":"Weathers","given":"Kathleen C."},{"family":"Wiens","given":"John"}],"issued":{"date-parts":[["2006"]]}}}],"schema":"https://github.com/citation-style-language/schema/raw/master/csl-citation.json"} </w:instrText>
      </w:r>
      <w:r>
        <w:rPr>
          <w:rFonts w:ascii="Times New Roman" w:hAnsi="Times New Roman" w:eastAsiaTheme="minorEastAsia"/>
          <w:sz w:val="24"/>
          <w:szCs w:val="24"/>
          <w:lang w:eastAsia="zh-CN"/>
        </w:rPr>
        <w:fldChar w:fldCharType="separate"/>
      </w:r>
      <w:r>
        <w:rPr>
          <w:rFonts w:ascii="Times New Roman" w:hAnsi="Times New Roman" w:eastAsiaTheme="minorEastAsia"/>
          <w:sz w:val="24"/>
        </w:rPr>
        <w:t>(C. Wissel, 1984; Groffman et al., 2006)</w:t>
      </w:r>
      <w:r>
        <w:rPr>
          <w:rFonts w:ascii="Times New Roman" w:hAnsi="Times New Roman" w:eastAsiaTheme="minorEastAsia"/>
          <w:sz w:val="24"/>
          <w:szCs w:val="24"/>
          <w:lang w:eastAsia="zh-CN"/>
        </w:rPr>
        <w:fldChar w:fldCharType="end"/>
      </w:r>
      <w:r>
        <w:rPr>
          <w:rFonts w:ascii="Times New Roman" w:hAnsi="Times New Roman" w:eastAsiaTheme="minorEastAsia"/>
          <w:sz w:val="24"/>
          <w:szCs w:val="24"/>
          <w:lang w:eastAsia="zh-CN"/>
        </w:rPr>
        <w:t>, in this article, we chose the second one as our definition of ecological tipping point. By constructing simultaneous confidence intervals for the first derivatives at a 95% confidence level, the statistical significance of the identified tipping points is rigorously verified, thereby quantitatively characterizing the taxonomic variations in sensitivity to the initial phases of wildfire disturbance.</w:t>
      </w:r>
    </w:p>
    <w:p w14:paraId="1C012FB3">
      <w:pPr>
        <w:pStyle w:val="46"/>
        <w:spacing w:line="240" w:lineRule="auto"/>
        <w:ind w:left="0"/>
        <w:rPr>
          <w:rFonts w:ascii="Times New Roman" w:hAnsi="Times New Roman" w:eastAsiaTheme="minorEastAsia"/>
          <w:sz w:val="24"/>
          <w:szCs w:val="24"/>
          <w:lang w:eastAsia="zh-CN"/>
        </w:rPr>
      </w:pPr>
      <w:r>
        <w:rPr>
          <w:rFonts w:ascii="Times New Roman" w:hAnsi="Times New Roman" w:eastAsiaTheme="minorEastAsia"/>
          <w:sz w:val="24"/>
          <w:szCs w:val="24"/>
          <w:lang w:eastAsia="zh-CN"/>
        </w:rPr>
        <w:t>2.4.2 Spatial Heterogeneity Characterization via Multiscale Geographically Weighted Regression (MGWR)</w:t>
      </w:r>
    </w:p>
    <w:p w14:paraId="4FA740CF">
      <w:pPr>
        <w:pStyle w:val="33"/>
        <w:spacing w:line="240" w:lineRule="auto"/>
        <w:ind w:left="0" w:firstLine="0"/>
        <w:rPr>
          <w:rFonts w:ascii="Times New Roman" w:hAnsi="Times New Roman" w:eastAsiaTheme="minorEastAsia"/>
          <w:sz w:val="24"/>
          <w:szCs w:val="24"/>
          <w:lang w:eastAsia="zh-CN"/>
        </w:rPr>
      </w:pPr>
      <w:r>
        <w:rPr>
          <w:rFonts w:ascii="Times New Roman" w:hAnsi="Times New Roman" w:eastAsiaTheme="minorEastAsia"/>
          <w:sz w:val="24"/>
          <w:szCs w:val="24"/>
          <w:lang w:eastAsia="zh-CN"/>
        </w:rPr>
        <w:t>To further investigate the spatial non-stationarity of the driving effects of wildfire burn severity on biodiversity, this study employs Multiscale Geographically Weighted Regression (MGWR)</w:t>
      </w:r>
      <w:r>
        <w:rPr>
          <w:rFonts w:ascii="Times New Roman" w:hAnsi="Times New Roman" w:eastAsiaTheme="minorEastAsia"/>
          <w:sz w:val="24"/>
          <w:szCs w:val="24"/>
          <w:lang w:eastAsia="zh-CN"/>
        </w:rPr>
        <w:fldChar w:fldCharType="begin"/>
      </w:r>
      <w:r>
        <w:rPr>
          <w:rFonts w:ascii="Times New Roman" w:hAnsi="Times New Roman" w:eastAsiaTheme="minorEastAsia"/>
          <w:sz w:val="24"/>
          <w:szCs w:val="24"/>
          <w:lang w:eastAsia="zh-CN"/>
        </w:rPr>
        <w:instrText xml:space="preserve"> ADDIN ZOTERO_ITEM CSL_CITATION {"citationID":"LU14bGlJ","properties":{"unsorted":false,"formattedCitation":"(Fotheringham et al., 2017)","plainCitation":"(Fotheringham et al., 2017)","noteIndex":0},"citationItems":[{"id":475,"uris":["http://zotero.org/users/17543282/items/7K6PVW2J"],"itemData":{"id":475,"type":"article-journal","container-title":"Annals of the American Association of Geographers","DOI":"10.1080/24694452.2017.1352480","ISSN":"2469-4452, 2469-4460","issue":"6","journalAbbreviation":"Annals of the American Association of Geographers","language":"en","page":"1247-1265","source":"DOI.org (Crossref)","title":"Multiscale Geographically Weighted Regression (MGWR)","volume":"107","author":[{"family":"Fotheringham","given":"A. Stewart"},{"family":"Yang","given":"Wenbai"},{"family":"Kang","given":"Wei"}],"issued":{"date-parts":[["2017",11,2]]}}}],"schema":"https://github.com/citation-style-language/schema/raw/master/csl-citation.json"} </w:instrText>
      </w:r>
      <w:r>
        <w:rPr>
          <w:rFonts w:ascii="Times New Roman" w:hAnsi="Times New Roman" w:eastAsiaTheme="minorEastAsia"/>
          <w:sz w:val="24"/>
          <w:szCs w:val="24"/>
          <w:lang w:eastAsia="zh-CN"/>
        </w:rPr>
        <w:fldChar w:fldCharType="separate"/>
      </w:r>
      <w:r>
        <w:rPr>
          <w:rFonts w:ascii="Times New Roman" w:hAnsi="Times New Roman" w:eastAsiaTheme="minorEastAsia"/>
          <w:sz w:val="24"/>
        </w:rPr>
        <w:t>(Fotheringham et al., 2017)</w:t>
      </w:r>
      <w:r>
        <w:rPr>
          <w:rFonts w:ascii="Times New Roman" w:hAnsi="Times New Roman" w:eastAsiaTheme="minorEastAsia"/>
          <w:sz w:val="24"/>
          <w:szCs w:val="24"/>
          <w:lang w:eastAsia="zh-CN"/>
        </w:rPr>
        <w:fldChar w:fldCharType="end"/>
      </w:r>
      <w:r>
        <w:rPr>
          <w:rFonts w:ascii="Times New Roman" w:hAnsi="Times New Roman" w:eastAsiaTheme="minorEastAsia"/>
          <w:sz w:val="24"/>
          <w:szCs w:val="24"/>
          <w:lang w:eastAsia="zh-CN"/>
        </w:rPr>
        <w:t>. In contrast to traditional Geographically Weighted Regression (GWR), which restricts all independent variables to a single uniform spatial scale, MGWR allows each explanatory variable to possess an independent and specific spatial bandwidth. Consequently, it can simultaneously capture environmental driving mechanisms operating at global, regional, and micro-patch scales. The mathematical structure of the model is formulated as follows:</w:t>
      </w:r>
    </w:p>
    <w:p w14:paraId="5DDE57D6">
      <w:pPr>
        <w:pStyle w:val="33"/>
        <w:spacing w:line="240" w:lineRule="auto"/>
        <w:ind w:left="0" w:firstLine="0"/>
        <w:rPr>
          <w:rFonts w:ascii="Times New Roman" w:hAnsi="Times New Roman" w:eastAsiaTheme="minorEastAsia"/>
          <w:sz w:val="24"/>
          <w:szCs w:val="24"/>
          <w:lang w:eastAsia="zh-CN"/>
        </w:rPr>
      </w:pPr>
      <m:oMathPara>
        <m:oMath>
          <m:eqArr>
            <m:eqArrPr>
              <m:maxDist m:val="1"/>
              <m:ctrlPr>
                <w:rPr>
                  <w:rFonts w:ascii="Cambria Math" w:hAnsi="Cambria Math" w:eastAsiaTheme="minorEastAsia"/>
                  <w:i/>
                  <w:sz w:val="24"/>
                  <w:szCs w:val="24"/>
                  <w:lang w:eastAsia="zh-CN"/>
                </w:rPr>
              </m:ctrlPr>
            </m:eqArrPr>
            <m:e>
              <m:sSub>
                <m:sSubPr>
                  <m:ctrlPr>
                    <w:rPr>
                      <w:rFonts w:ascii="Cambria Math" w:hAnsi="Cambria Math" w:eastAsiaTheme="minorEastAsia"/>
                      <w:i/>
                      <w:sz w:val="24"/>
                      <w:szCs w:val="24"/>
                      <w:lang w:eastAsia="zh-CN"/>
                    </w:rPr>
                  </m:ctrlPr>
                </m:sSubPr>
                <m:e>
                  <m:r>
                    <m:rPr/>
                    <w:rPr>
                      <w:rFonts w:ascii="Cambria Math" w:hAnsi="Cambria Math" w:eastAsiaTheme="minorEastAsia"/>
                      <w:sz w:val="24"/>
                      <w:szCs w:val="24"/>
                      <w:lang w:eastAsia="zh-CN"/>
                    </w:rPr>
                    <m:t>Y</m:t>
                  </m:r>
                  <m:ctrlPr>
                    <w:rPr>
                      <w:rFonts w:ascii="Cambria Math" w:hAnsi="Cambria Math" w:eastAsiaTheme="minorEastAsia"/>
                      <w:i/>
                      <w:sz w:val="24"/>
                      <w:szCs w:val="24"/>
                      <w:lang w:eastAsia="zh-CN"/>
                    </w:rPr>
                  </m:ctrlPr>
                </m:e>
                <m:sub>
                  <m:r>
                    <m:rPr/>
                    <w:rPr>
                      <w:rFonts w:ascii="Cambria Math" w:hAnsi="Cambria Math" w:eastAsiaTheme="minorEastAsia"/>
                      <w:sz w:val="24"/>
                      <w:szCs w:val="24"/>
                      <w:lang w:eastAsia="zh-CN"/>
                    </w:rPr>
                    <m:t>i</m:t>
                  </m:r>
                  <m:ctrlPr>
                    <w:rPr>
                      <w:rFonts w:ascii="Cambria Math" w:hAnsi="Cambria Math" w:eastAsiaTheme="minorEastAsia"/>
                      <w:i/>
                      <w:sz w:val="24"/>
                      <w:szCs w:val="24"/>
                      <w:lang w:eastAsia="zh-CN"/>
                    </w:rPr>
                  </m:ctrlPr>
                </m:sub>
              </m:sSub>
              <w:bookmarkStart w:id="1" w:name="_Hlk232090672"/>
              <m:r>
                <m:rPr/>
                <w:rPr>
                  <w:rFonts w:ascii="Cambria Math" w:hAnsi="Cambria Math" w:eastAsiaTheme="minorEastAsia"/>
                  <w:sz w:val="24"/>
                  <w:szCs w:val="24"/>
                  <w:lang w:eastAsia="zh-CN"/>
                </w:rPr>
                <m:t>=</m:t>
              </m:r>
              <m:sSub>
                <m:sSubPr>
                  <m:ctrlPr>
                    <w:rPr>
                      <w:rFonts w:ascii="Cambria Math" w:hAnsi="Cambria Math" w:eastAsiaTheme="minorEastAsia"/>
                      <w:i/>
                      <w:sz w:val="24"/>
                      <w:szCs w:val="24"/>
                      <w:lang w:eastAsia="zh-CN"/>
                    </w:rPr>
                  </m:ctrlPr>
                </m:sSubPr>
                <m:e>
                  <m:r>
                    <m:rPr/>
                    <w:rPr>
                      <w:rFonts w:ascii="Cambria Math" w:hAnsi="Cambria Math" w:eastAsiaTheme="minorEastAsia"/>
                      <w:sz w:val="24"/>
                      <w:szCs w:val="24"/>
                      <w:lang w:eastAsia="zh-CN"/>
                    </w:rPr>
                    <m:t>β</m:t>
                  </m:r>
                  <m:ctrlPr>
                    <w:rPr>
                      <w:rFonts w:ascii="Cambria Math" w:hAnsi="Cambria Math" w:eastAsiaTheme="minorEastAsia"/>
                      <w:i/>
                      <w:sz w:val="24"/>
                      <w:szCs w:val="24"/>
                      <w:lang w:eastAsia="zh-CN"/>
                    </w:rPr>
                  </m:ctrlPr>
                </m:e>
                <m:sub>
                  <m:r>
                    <m:rPr/>
                    <w:rPr>
                      <w:rFonts w:ascii="Cambria Math" w:hAnsi="Cambria Math" w:eastAsiaTheme="minorEastAsia"/>
                      <w:sz w:val="24"/>
                      <w:szCs w:val="24"/>
                      <w:lang w:eastAsia="zh-CN"/>
                    </w:rPr>
                    <m:t>0</m:t>
                  </m:r>
                  <m:ctrlPr>
                    <w:rPr>
                      <w:rFonts w:ascii="Cambria Math" w:hAnsi="Cambria Math" w:eastAsiaTheme="minorEastAsia"/>
                      <w:i/>
                      <w:sz w:val="24"/>
                      <w:szCs w:val="24"/>
                      <w:lang w:eastAsia="zh-CN"/>
                    </w:rPr>
                  </m:ctrlPr>
                </m:sub>
              </m:sSub>
              <w:bookmarkEnd w:id="1"/>
              <m:d>
                <m:dPr>
                  <m:ctrlPr>
                    <w:rPr>
                      <w:rFonts w:ascii="Cambria Math" w:hAnsi="Cambria Math" w:eastAsiaTheme="minorEastAsia"/>
                      <w:i/>
                      <w:sz w:val="24"/>
                      <w:szCs w:val="24"/>
                      <w:lang w:eastAsia="zh-CN"/>
                    </w:rPr>
                  </m:ctrlPr>
                </m:dPr>
                <m:e>
                  <m:sSub>
                    <m:sSubPr>
                      <m:ctrlPr>
                        <w:rPr>
                          <w:rFonts w:ascii="Cambria Math" w:hAnsi="Cambria Math" w:eastAsiaTheme="minorEastAsia"/>
                          <w:i/>
                          <w:sz w:val="24"/>
                          <w:szCs w:val="24"/>
                          <w:lang w:eastAsia="zh-CN"/>
                        </w:rPr>
                      </m:ctrlPr>
                    </m:sSubPr>
                    <m:e>
                      <m:r>
                        <m:rPr/>
                        <w:rPr>
                          <w:rFonts w:ascii="Cambria Math" w:hAnsi="Cambria Math" w:eastAsiaTheme="minorEastAsia"/>
                          <w:sz w:val="24"/>
                          <w:szCs w:val="24"/>
                          <w:lang w:eastAsia="zh-CN"/>
                        </w:rPr>
                        <m:t>u</m:t>
                      </m:r>
                      <m:ctrlPr>
                        <w:rPr>
                          <w:rFonts w:ascii="Cambria Math" w:hAnsi="Cambria Math" w:eastAsiaTheme="minorEastAsia"/>
                          <w:i/>
                          <w:sz w:val="24"/>
                          <w:szCs w:val="24"/>
                          <w:lang w:eastAsia="zh-CN"/>
                        </w:rPr>
                      </m:ctrlPr>
                    </m:e>
                    <m:sub>
                      <m:r>
                        <m:rPr/>
                        <w:rPr>
                          <w:rFonts w:ascii="Cambria Math" w:hAnsi="Cambria Math" w:eastAsiaTheme="minorEastAsia"/>
                          <w:sz w:val="24"/>
                          <w:szCs w:val="24"/>
                          <w:lang w:eastAsia="zh-CN"/>
                        </w:rPr>
                        <m:t>i</m:t>
                      </m:r>
                      <m:ctrlPr>
                        <w:rPr>
                          <w:rFonts w:ascii="Cambria Math" w:hAnsi="Cambria Math" w:eastAsiaTheme="minorEastAsia"/>
                          <w:i/>
                          <w:sz w:val="24"/>
                          <w:szCs w:val="24"/>
                          <w:lang w:eastAsia="zh-CN"/>
                        </w:rPr>
                      </m:ctrlPr>
                    </m:sub>
                  </m:sSub>
                  <m:r>
                    <m:rPr/>
                    <w:rPr>
                      <w:rFonts w:ascii="Cambria Math" w:hAnsi="Cambria Math" w:eastAsiaTheme="minorEastAsia"/>
                      <w:sz w:val="24"/>
                      <w:szCs w:val="24"/>
                      <w:lang w:eastAsia="zh-CN"/>
                    </w:rPr>
                    <m:t>,</m:t>
                  </m:r>
                  <m:sSub>
                    <m:sSubPr>
                      <m:ctrlPr>
                        <w:rPr>
                          <w:rFonts w:ascii="Cambria Math" w:hAnsi="Cambria Math" w:eastAsiaTheme="minorEastAsia"/>
                          <w:i/>
                          <w:sz w:val="24"/>
                          <w:szCs w:val="24"/>
                          <w:lang w:eastAsia="zh-CN"/>
                        </w:rPr>
                      </m:ctrlPr>
                    </m:sSubPr>
                    <m:e>
                      <m:r>
                        <m:rPr/>
                        <w:rPr>
                          <w:rFonts w:ascii="Cambria Math" w:hAnsi="Cambria Math" w:eastAsiaTheme="minorEastAsia"/>
                          <w:sz w:val="24"/>
                          <w:szCs w:val="24"/>
                          <w:lang w:eastAsia="zh-CN"/>
                        </w:rPr>
                        <m:t>v</m:t>
                      </m:r>
                      <m:ctrlPr>
                        <w:rPr>
                          <w:rFonts w:ascii="Cambria Math" w:hAnsi="Cambria Math" w:eastAsiaTheme="minorEastAsia"/>
                          <w:i/>
                          <w:sz w:val="24"/>
                          <w:szCs w:val="24"/>
                          <w:lang w:eastAsia="zh-CN"/>
                        </w:rPr>
                      </m:ctrlPr>
                    </m:e>
                    <m:sub>
                      <m:r>
                        <m:rPr/>
                        <w:rPr>
                          <w:rFonts w:ascii="Cambria Math" w:hAnsi="Cambria Math" w:eastAsiaTheme="minorEastAsia"/>
                          <w:sz w:val="24"/>
                          <w:szCs w:val="24"/>
                          <w:lang w:eastAsia="zh-CN"/>
                        </w:rPr>
                        <m:t>i</m:t>
                      </m:r>
                      <m:ctrlPr>
                        <w:rPr>
                          <w:rFonts w:ascii="Cambria Math" w:hAnsi="Cambria Math" w:eastAsiaTheme="minorEastAsia"/>
                          <w:i/>
                          <w:sz w:val="24"/>
                          <w:szCs w:val="24"/>
                          <w:lang w:eastAsia="zh-CN"/>
                        </w:rPr>
                      </m:ctrlPr>
                    </m:sub>
                  </m:sSub>
                  <m:ctrlPr>
                    <w:rPr>
                      <w:rFonts w:ascii="Cambria Math" w:hAnsi="Cambria Math" w:eastAsiaTheme="minorEastAsia"/>
                      <w:i/>
                      <w:sz w:val="24"/>
                      <w:szCs w:val="24"/>
                      <w:lang w:eastAsia="zh-CN"/>
                    </w:rPr>
                  </m:ctrlPr>
                </m:e>
              </m:d>
              <m:r>
                <m:rPr/>
                <w:rPr>
                  <w:rFonts w:ascii="Cambria Math" w:hAnsi="Cambria Math" w:eastAsiaTheme="minorEastAsia"/>
                  <w:sz w:val="24"/>
                  <w:szCs w:val="24"/>
                  <w:lang w:eastAsia="zh-CN"/>
                </w:rPr>
                <m:t>+</m:t>
              </m:r>
              <m:nary>
                <m:naryPr>
                  <m:chr m:val="∑"/>
                  <m:limLoc m:val="undOvr"/>
                  <m:ctrlPr>
                    <w:rPr>
                      <w:rFonts w:ascii="Cambria Math" w:hAnsi="Cambria Math" w:eastAsiaTheme="minorEastAsia"/>
                      <w:i/>
                      <w:sz w:val="24"/>
                      <w:szCs w:val="24"/>
                      <w:lang w:eastAsia="zh-CN"/>
                    </w:rPr>
                  </m:ctrlPr>
                </m:naryPr>
                <m:sub>
                  <m:r>
                    <m:rPr/>
                    <w:rPr>
                      <w:rFonts w:ascii="Cambria Math" w:hAnsi="Cambria Math" w:eastAsiaTheme="minorEastAsia"/>
                      <w:sz w:val="24"/>
                      <w:szCs w:val="24"/>
                      <w:lang w:eastAsia="zh-CN"/>
                    </w:rPr>
                    <m:t>j=1</m:t>
                  </m:r>
                  <m:ctrlPr>
                    <w:rPr>
                      <w:rFonts w:ascii="Cambria Math" w:hAnsi="Cambria Math" w:eastAsiaTheme="minorEastAsia"/>
                      <w:i/>
                      <w:sz w:val="24"/>
                      <w:szCs w:val="24"/>
                      <w:lang w:eastAsia="zh-CN"/>
                    </w:rPr>
                  </m:ctrlPr>
                </m:sub>
                <m:sup>
                  <m:r>
                    <m:rPr/>
                    <w:rPr>
                      <w:rFonts w:ascii="Cambria Math" w:hAnsi="Cambria Math" w:eastAsiaTheme="minorEastAsia"/>
                      <w:sz w:val="24"/>
                      <w:szCs w:val="24"/>
                      <w:lang w:eastAsia="zh-CN"/>
                    </w:rPr>
                    <m:t>k</m:t>
                  </m:r>
                  <m:ctrlPr>
                    <w:rPr>
                      <w:rFonts w:ascii="Cambria Math" w:hAnsi="Cambria Math" w:eastAsiaTheme="minorEastAsia"/>
                      <w:i/>
                      <w:sz w:val="24"/>
                      <w:szCs w:val="24"/>
                      <w:lang w:eastAsia="zh-CN"/>
                    </w:rPr>
                  </m:ctrlPr>
                </m:sup>
                <m:e>
                  <m:sSub>
                    <m:sSubPr>
                      <m:ctrlPr>
                        <w:rPr>
                          <w:rFonts w:ascii="Cambria Math" w:hAnsi="Cambria Math" w:eastAsiaTheme="minorEastAsia"/>
                          <w:i/>
                          <w:sz w:val="24"/>
                          <w:szCs w:val="24"/>
                          <w:lang w:eastAsia="zh-CN"/>
                        </w:rPr>
                      </m:ctrlPr>
                    </m:sSubPr>
                    <m:e>
                      <m:r>
                        <m:rPr/>
                        <w:rPr>
                          <w:rFonts w:ascii="Cambria Math" w:hAnsi="Cambria Math" w:eastAsiaTheme="minorEastAsia"/>
                          <w:sz w:val="24"/>
                          <w:szCs w:val="24"/>
                          <w:lang w:eastAsia="zh-CN"/>
                        </w:rPr>
                        <m:t>β</m:t>
                      </m:r>
                      <m:ctrlPr>
                        <w:rPr>
                          <w:rFonts w:ascii="Cambria Math" w:hAnsi="Cambria Math" w:eastAsiaTheme="minorEastAsia"/>
                          <w:i/>
                          <w:sz w:val="24"/>
                          <w:szCs w:val="24"/>
                          <w:lang w:eastAsia="zh-CN"/>
                        </w:rPr>
                      </m:ctrlPr>
                    </m:e>
                    <m:sub>
                      <m:r>
                        <m:rPr/>
                        <w:rPr>
                          <w:rFonts w:ascii="Cambria Math" w:hAnsi="Cambria Math" w:eastAsiaTheme="minorEastAsia"/>
                          <w:sz w:val="24"/>
                          <w:szCs w:val="24"/>
                          <w:lang w:eastAsia="zh-CN"/>
                        </w:rPr>
                        <m:t>bwj</m:t>
                      </m:r>
                      <m:ctrlPr>
                        <w:rPr>
                          <w:rFonts w:ascii="Cambria Math" w:hAnsi="Cambria Math" w:eastAsiaTheme="minorEastAsia"/>
                          <w:i/>
                          <w:sz w:val="24"/>
                          <w:szCs w:val="24"/>
                          <w:lang w:eastAsia="zh-CN"/>
                        </w:rPr>
                      </m:ctrlPr>
                    </m:sub>
                  </m:sSub>
                  <m:d>
                    <m:dPr>
                      <m:ctrlPr>
                        <w:rPr>
                          <w:rFonts w:ascii="Cambria Math" w:hAnsi="Cambria Math" w:eastAsiaTheme="minorEastAsia"/>
                          <w:i/>
                          <w:sz w:val="24"/>
                          <w:szCs w:val="24"/>
                          <w:lang w:eastAsia="zh-CN"/>
                        </w:rPr>
                      </m:ctrlPr>
                    </m:dPr>
                    <m:e>
                      <m:sSub>
                        <m:sSubPr>
                          <m:ctrlPr>
                            <w:rPr>
                              <w:rFonts w:ascii="Cambria Math" w:hAnsi="Cambria Math" w:eastAsiaTheme="minorEastAsia"/>
                              <w:i/>
                              <w:sz w:val="24"/>
                              <w:szCs w:val="24"/>
                              <w:lang w:eastAsia="zh-CN"/>
                            </w:rPr>
                          </m:ctrlPr>
                        </m:sSubPr>
                        <m:e>
                          <m:r>
                            <m:rPr/>
                            <w:rPr>
                              <w:rFonts w:ascii="Cambria Math" w:hAnsi="Cambria Math" w:eastAsiaTheme="minorEastAsia"/>
                              <w:sz w:val="24"/>
                              <w:szCs w:val="24"/>
                              <w:lang w:eastAsia="zh-CN"/>
                            </w:rPr>
                            <m:t>u</m:t>
                          </m:r>
                          <m:ctrlPr>
                            <w:rPr>
                              <w:rFonts w:ascii="Cambria Math" w:hAnsi="Cambria Math" w:eastAsiaTheme="minorEastAsia"/>
                              <w:i/>
                              <w:sz w:val="24"/>
                              <w:szCs w:val="24"/>
                              <w:lang w:eastAsia="zh-CN"/>
                            </w:rPr>
                          </m:ctrlPr>
                        </m:e>
                        <m:sub>
                          <m:r>
                            <m:rPr/>
                            <w:rPr>
                              <w:rFonts w:ascii="Cambria Math" w:hAnsi="Cambria Math" w:eastAsiaTheme="minorEastAsia"/>
                              <w:sz w:val="24"/>
                              <w:szCs w:val="24"/>
                              <w:lang w:eastAsia="zh-CN"/>
                            </w:rPr>
                            <m:t>i</m:t>
                          </m:r>
                          <m:ctrlPr>
                            <w:rPr>
                              <w:rFonts w:ascii="Cambria Math" w:hAnsi="Cambria Math" w:eastAsiaTheme="minorEastAsia"/>
                              <w:i/>
                              <w:sz w:val="24"/>
                              <w:szCs w:val="24"/>
                              <w:lang w:eastAsia="zh-CN"/>
                            </w:rPr>
                          </m:ctrlPr>
                        </m:sub>
                      </m:sSub>
                      <m:sSub>
                        <m:sSubPr>
                          <m:ctrlPr>
                            <w:rPr>
                              <w:rFonts w:ascii="Cambria Math" w:hAnsi="Cambria Math" w:eastAsiaTheme="minorEastAsia"/>
                              <w:i/>
                              <w:sz w:val="24"/>
                              <w:szCs w:val="24"/>
                              <w:lang w:eastAsia="zh-CN"/>
                            </w:rPr>
                          </m:ctrlPr>
                        </m:sSubPr>
                        <m:e>
                          <m:r>
                            <m:rPr/>
                            <w:rPr>
                              <w:rFonts w:ascii="Cambria Math" w:hAnsi="Cambria Math" w:eastAsiaTheme="minorEastAsia"/>
                              <w:sz w:val="24"/>
                              <w:szCs w:val="24"/>
                              <w:lang w:eastAsia="zh-CN"/>
                            </w:rPr>
                            <m:t>,v</m:t>
                          </m:r>
                          <m:ctrlPr>
                            <w:rPr>
                              <w:rFonts w:ascii="Cambria Math" w:hAnsi="Cambria Math" w:eastAsiaTheme="minorEastAsia"/>
                              <w:i/>
                              <w:sz w:val="24"/>
                              <w:szCs w:val="24"/>
                              <w:lang w:eastAsia="zh-CN"/>
                            </w:rPr>
                          </m:ctrlPr>
                        </m:e>
                        <m:sub>
                          <m:r>
                            <m:rPr/>
                            <w:rPr>
                              <w:rFonts w:ascii="Cambria Math" w:hAnsi="Cambria Math" w:eastAsiaTheme="minorEastAsia"/>
                              <w:sz w:val="24"/>
                              <w:szCs w:val="24"/>
                              <w:lang w:eastAsia="zh-CN"/>
                            </w:rPr>
                            <m:t>i</m:t>
                          </m:r>
                          <m:ctrlPr>
                            <w:rPr>
                              <w:rFonts w:ascii="Cambria Math" w:hAnsi="Cambria Math" w:eastAsiaTheme="minorEastAsia"/>
                              <w:i/>
                              <w:sz w:val="24"/>
                              <w:szCs w:val="24"/>
                              <w:lang w:eastAsia="zh-CN"/>
                            </w:rPr>
                          </m:ctrlPr>
                        </m:sub>
                      </m:sSub>
                      <m:ctrlPr>
                        <w:rPr>
                          <w:rFonts w:ascii="Cambria Math" w:hAnsi="Cambria Math" w:eastAsiaTheme="minorEastAsia"/>
                          <w:i/>
                          <w:sz w:val="24"/>
                          <w:szCs w:val="24"/>
                          <w:lang w:eastAsia="zh-CN"/>
                        </w:rPr>
                      </m:ctrlPr>
                    </m:e>
                  </m:d>
                  <m:sSub>
                    <m:sSubPr>
                      <m:ctrlPr>
                        <w:rPr>
                          <w:rFonts w:ascii="Cambria Math" w:hAnsi="Cambria Math" w:eastAsiaTheme="minorEastAsia"/>
                          <w:i/>
                          <w:sz w:val="24"/>
                          <w:szCs w:val="24"/>
                          <w:lang w:eastAsia="zh-CN"/>
                        </w:rPr>
                      </m:ctrlPr>
                    </m:sSubPr>
                    <m:e>
                      <m:r>
                        <m:rPr/>
                        <w:rPr>
                          <w:rFonts w:ascii="Cambria Math" w:hAnsi="Cambria Math" w:eastAsiaTheme="minorEastAsia"/>
                          <w:sz w:val="24"/>
                          <w:szCs w:val="24"/>
                          <w:lang w:eastAsia="zh-CN"/>
                        </w:rPr>
                        <m:t>X</m:t>
                      </m:r>
                      <m:ctrlPr>
                        <w:rPr>
                          <w:rFonts w:ascii="Cambria Math" w:hAnsi="Cambria Math" w:eastAsiaTheme="minorEastAsia"/>
                          <w:i/>
                          <w:sz w:val="24"/>
                          <w:szCs w:val="24"/>
                          <w:lang w:eastAsia="zh-CN"/>
                        </w:rPr>
                      </m:ctrlPr>
                    </m:e>
                    <m:sub>
                      <m:r>
                        <m:rPr/>
                        <w:rPr>
                          <w:rFonts w:ascii="Cambria Math" w:hAnsi="Cambria Math" w:eastAsiaTheme="minorEastAsia"/>
                          <w:sz w:val="24"/>
                          <w:szCs w:val="24"/>
                          <w:lang w:eastAsia="zh-CN"/>
                        </w:rPr>
                        <m:t>ij</m:t>
                      </m:r>
                      <m:ctrlPr>
                        <w:rPr>
                          <w:rFonts w:ascii="Cambria Math" w:hAnsi="Cambria Math" w:eastAsiaTheme="minorEastAsia"/>
                          <w:i/>
                          <w:sz w:val="24"/>
                          <w:szCs w:val="24"/>
                          <w:lang w:eastAsia="zh-CN"/>
                        </w:rPr>
                      </m:ctrlPr>
                    </m:sub>
                  </m:sSub>
                  <m:ctrlPr>
                    <w:rPr>
                      <w:rFonts w:ascii="Cambria Math" w:hAnsi="Cambria Math" w:eastAsiaTheme="minorEastAsia"/>
                      <w:i/>
                      <w:sz w:val="24"/>
                      <w:szCs w:val="24"/>
                      <w:lang w:eastAsia="zh-CN"/>
                    </w:rPr>
                  </m:ctrlPr>
                </m:e>
              </m:nary>
              <m:r>
                <m:rPr/>
                <w:rPr>
                  <w:rFonts w:ascii="Cambria Math" w:hAnsi="Cambria Math" w:eastAsiaTheme="minorEastAsia"/>
                  <w:sz w:val="24"/>
                  <w:szCs w:val="24"/>
                  <w:lang w:eastAsia="zh-CN"/>
                </w:rPr>
                <m:t>+</m:t>
              </m:r>
              <m:sSub>
                <m:sSubPr>
                  <m:ctrlPr>
                    <w:rPr>
                      <w:rFonts w:ascii="Cambria Math" w:hAnsi="Cambria Math" w:eastAsiaTheme="minorEastAsia"/>
                      <w:i/>
                      <w:sz w:val="24"/>
                      <w:szCs w:val="24"/>
                      <w:lang w:eastAsia="zh-CN"/>
                    </w:rPr>
                  </m:ctrlPr>
                </m:sSubPr>
                <m:e>
                  <m:r>
                    <m:rPr/>
                    <w:rPr>
                      <w:rFonts w:ascii="Cambria Math" w:hAnsi="Cambria Math" w:eastAsiaTheme="minorEastAsia"/>
                      <w:sz w:val="24"/>
                      <w:szCs w:val="24"/>
                      <w:lang w:eastAsia="zh-CN"/>
                    </w:rPr>
                    <m:t>ε</m:t>
                  </m:r>
                  <m:ctrlPr>
                    <w:rPr>
                      <w:rFonts w:ascii="Cambria Math" w:hAnsi="Cambria Math" w:eastAsiaTheme="minorEastAsia"/>
                      <w:i/>
                      <w:sz w:val="24"/>
                      <w:szCs w:val="24"/>
                      <w:lang w:eastAsia="zh-CN"/>
                    </w:rPr>
                  </m:ctrlPr>
                </m:e>
                <m:sub>
                  <m:r>
                    <m:rPr/>
                    <w:rPr>
                      <w:rFonts w:ascii="Cambria Math" w:hAnsi="Cambria Math" w:eastAsiaTheme="minorEastAsia"/>
                      <w:sz w:val="24"/>
                      <w:szCs w:val="24"/>
                      <w:lang w:eastAsia="zh-CN"/>
                    </w:rPr>
                    <m:t>i</m:t>
                  </m:r>
                  <m:ctrlPr>
                    <w:rPr>
                      <w:rFonts w:ascii="Cambria Math" w:hAnsi="Cambria Math" w:eastAsiaTheme="minorEastAsia"/>
                      <w:i/>
                      <w:sz w:val="24"/>
                      <w:szCs w:val="24"/>
                      <w:lang w:eastAsia="zh-CN"/>
                    </w:rPr>
                  </m:ctrlPr>
                </m:sub>
              </m:sSub>
              <m:r>
                <m:rPr/>
                <w:rPr>
                  <w:rFonts w:ascii="Cambria Math" w:hAnsi="Cambria Math" w:eastAsiaTheme="minorEastAsia"/>
                  <w:sz w:val="24"/>
                  <w:szCs w:val="24"/>
                  <w:lang w:eastAsia="zh-CN"/>
                </w:rPr>
                <m:t>#</m:t>
              </m:r>
              <m:d>
                <m:dPr>
                  <m:ctrlPr>
                    <w:rPr>
                      <w:rFonts w:ascii="Cambria Math" w:hAnsi="Cambria Math" w:eastAsiaTheme="minorEastAsia"/>
                      <w:i/>
                      <w:sz w:val="24"/>
                      <w:szCs w:val="24"/>
                      <w:lang w:eastAsia="zh-CN"/>
                    </w:rPr>
                  </m:ctrlPr>
                </m:dPr>
                <m:e>
                  <m:r>
                    <m:rPr/>
                    <w:rPr>
                      <w:rFonts w:ascii="Cambria Math" w:hAnsi="Cambria Math" w:eastAsiaTheme="minorEastAsia"/>
                      <w:sz w:val="24"/>
                      <w:szCs w:val="24"/>
                      <w:lang w:eastAsia="zh-CN"/>
                    </w:rPr>
                    <m:t>6</m:t>
                  </m:r>
                  <m:ctrlPr>
                    <w:rPr>
                      <w:rFonts w:ascii="Cambria Math" w:hAnsi="Cambria Math" w:eastAsiaTheme="minorEastAsia"/>
                      <w:i/>
                      <w:sz w:val="24"/>
                      <w:szCs w:val="24"/>
                      <w:lang w:eastAsia="zh-CN"/>
                    </w:rPr>
                  </m:ctrlPr>
                </m:e>
              </m:d>
              <m:ctrlPr>
                <w:rPr>
                  <w:rFonts w:ascii="Cambria Math" w:hAnsi="Cambria Math" w:eastAsiaTheme="minorEastAsia"/>
                  <w:i/>
                  <w:sz w:val="24"/>
                  <w:szCs w:val="24"/>
                  <w:lang w:eastAsia="zh-CN"/>
                </w:rPr>
              </m:ctrlPr>
            </m:e>
          </m:eqArr>
        </m:oMath>
      </m:oMathPara>
    </w:p>
    <w:p w14:paraId="0DB7D92E">
      <w:pPr>
        <w:pStyle w:val="33"/>
        <w:spacing w:line="240" w:lineRule="auto"/>
        <w:ind w:left="0" w:firstLine="0"/>
        <w:rPr>
          <w:rFonts w:ascii="Times New Roman" w:hAnsi="Times New Roman" w:eastAsiaTheme="minorEastAsia"/>
          <w:sz w:val="24"/>
          <w:szCs w:val="24"/>
          <w:lang w:eastAsia="zh-CN"/>
        </w:rPr>
      </w:pPr>
      <w:r>
        <w:rPr>
          <w:rFonts w:ascii="Times New Roman" w:hAnsi="Times New Roman" w:eastAsiaTheme="minorEastAsia"/>
          <w:sz w:val="24"/>
          <w:szCs w:val="24"/>
          <w:lang w:eastAsia="zh-CN"/>
        </w:rPr>
        <w:t xml:space="preserve">where </w:t>
      </w:r>
      <m:oMath>
        <m:sSub>
          <m:sSubPr>
            <m:ctrlPr>
              <w:rPr>
                <w:rFonts w:ascii="Cambria Math" w:hAnsi="Cambria Math" w:eastAsiaTheme="minorEastAsia"/>
                <w:i/>
                <w:sz w:val="24"/>
                <w:szCs w:val="24"/>
                <w:lang w:eastAsia="zh-CN"/>
              </w:rPr>
            </m:ctrlPr>
          </m:sSubPr>
          <m:e>
            <m:r>
              <m:rPr/>
              <w:rPr>
                <w:rFonts w:ascii="Cambria Math" w:hAnsi="Cambria Math" w:eastAsiaTheme="minorEastAsia"/>
                <w:sz w:val="24"/>
                <w:szCs w:val="24"/>
                <w:lang w:eastAsia="zh-CN"/>
              </w:rPr>
              <m:t>Y</m:t>
            </m:r>
            <m:ctrlPr>
              <w:rPr>
                <w:rFonts w:ascii="Cambria Math" w:hAnsi="Cambria Math" w:eastAsiaTheme="minorEastAsia"/>
                <w:i/>
                <w:sz w:val="24"/>
                <w:szCs w:val="24"/>
                <w:lang w:eastAsia="zh-CN"/>
              </w:rPr>
            </m:ctrlPr>
          </m:e>
          <m:sub>
            <m:r>
              <m:rPr/>
              <w:rPr>
                <w:rFonts w:ascii="Cambria Math" w:hAnsi="Cambria Math" w:eastAsiaTheme="minorEastAsia"/>
                <w:sz w:val="24"/>
                <w:szCs w:val="24"/>
                <w:lang w:eastAsia="zh-CN"/>
              </w:rPr>
              <m:t>i</m:t>
            </m:r>
            <m:ctrlPr>
              <w:rPr>
                <w:rFonts w:ascii="Cambria Math" w:hAnsi="Cambria Math" w:eastAsiaTheme="minorEastAsia"/>
                <w:i/>
                <w:sz w:val="24"/>
                <w:szCs w:val="24"/>
                <w:lang w:eastAsia="zh-CN"/>
              </w:rPr>
            </m:ctrlPr>
          </m:sub>
        </m:sSub>
      </m:oMath>
      <w:r>
        <w:rPr>
          <w:rFonts w:ascii="Times New Roman" w:hAnsi="Times New Roman" w:eastAsiaTheme="minorEastAsia"/>
          <w:sz w:val="24"/>
          <w:szCs w:val="24"/>
          <w:lang w:eastAsia="zh-CN"/>
        </w:rPr>
        <w:t xml:space="preserve"> is the total vertebrate biodiversity change (ΔHotpot_Total) at observation point </w:t>
      </w:r>
      <w:r>
        <w:rPr>
          <w:rFonts w:hint="eastAsia" w:ascii="Times New Roman" w:hAnsi="Times New Roman" w:eastAsiaTheme="minorEastAsia"/>
          <w:sz w:val="24"/>
          <w:szCs w:val="24"/>
          <w:lang w:eastAsia="zh-CN"/>
        </w:rPr>
        <w:t>i,</w:t>
      </w:r>
      <w:r>
        <w:rPr>
          <w:rFonts w:ascii="Times New Roman" w:hAnsi="Times New Roman" w:eastAsiaTheme="minorEastAsia"/>
          <w:sz w:val="24"/>
          <w:szCs w:val="24"/>
          <w:lang w:eastAsia="zh-CN"/>
        </w:rPr>
        <w:t xml:space="preserve"> </w:t>
      </w:r>
      <m:oMath>
        <m:d>
          <m:dPr>
            <m:ctrlPr>
              <w:rPr>
                <w:rFonts w:ascii="Cambria Math" w:hAnsi="Cambria Math" w:eastAsiaTheme="minorEastAsia"/>
                <w:i/>
                <w:sz w:val="24"/>
                <w:szCs w:val="24"/>
                <w:lang w:eastAsia="zh-CN"/>
              </w:rPr>
            </m:ctrlPr>
          </m:dPr>
          <m:e>
            <m:sSub>
              <m:sSubPr>
                <m:ctrlPr>
                  <w:rPr>
                    <w:rFonts w:ascii="Cambria Math" w:hAnsi="Cambria Math" w:eastAsiaTheme="minorEastAsia"/>
                    <w:i/>
                    <w:sz w:val="24"/>
                    <w:szCs w:val="24"/>
                    <w:lang w:eastAsia="zh-CN"/>
                  </w:rPr>
                </m:ctrlPr>
              </m:sSubPr>
              <m:e>
                <m:r>
                  <m:rPr/>
                  <w:rPr>
                    <w:rFonts w:ascii="Cambria Math" w:hAnsi="Cambria Math" w:eastAsiaTheme="minorEastAsia"/>
                    <w:sz w:val="24"/>
                    <w:szCs w:val="24"/>
                    <w:lang w:eastAsia="zh-CN"/>
                  </w:rPr>
                  <m:t>u</m:t>
                </m:r>
                <m:ctrlPr>
                  <w:rPr>
                    <w:rFonts w:ascii="Cambria Math" w:hAnsi="Cambria Math" w:eastAsiaTheme="minorEastAsia"/>
                    <w:i/>
                    <w:sz w:val="24"/>
                    <w:szCs w:val="24"/>
                    <w:lang w:eastAsia="zh-CN"/>
                  </w:rPr>
                </m:ctrlPr>
              </m:e>
              <m:sub>
                <m:r>
                  <m:rPr/>
                  <w:rPr>
                    <w:rFonts w:ascii="Cambria Math" w:hAnsi="Cambria Math" w:eastAsiaTheme="minorEastAsia"/>
                    <w:sz w:val="24"/>
                    <w:szCs w:val="24"/>
                    <w:lang w:eastAsia="zh-CN"/>
                  </w:rPr>
                  <m:t>i</m:t>
                </m:r>
                <m:ctrlPr>
                  <w:rPr>
                    <w:rFonts w:ascii="Cambria Math" w:hAnsi="Cambria Math" w:eastAsiaTheme="minorEastAsia"/>
                    <w:i/>
                    <w:sz w:val="24"/>
                    <w:szCs w:val="24"/>
                    <w:lang w:eastAsia="zh-CN"/>
                  </w:rPr>
                </m:ctrlPr>
              </m:sub>
            </m:sSub>
            <m:sSub>
              <m:sSubPr>
                <m:ctrlPr>
                  <w:rPr>
                    <w:rFonts w:ascii="Cambria Math" w:hAnsi="Cambria Math" w:eastAsiaTheme="minorEastAsia"/>
                    <w:i/>
                    <w:sz w:val="24"/>
                    <w:szCs w:val="24"/>
                    <w:lang w:eastAsia="zh-CN"/>
                  </w:rPr>
                </m:ctrlPr>
              </m:sSubPr>
              <m:e>
                <m:r>
                  <m:rPr/>
                  <w:rPr>
                    <w:rFonts w:ascii="Cambria Math" w:hAnsi="Cambria Math" w:eastAsiaTheme="minorEastAsia"/>
                    <w:sz w:val="24"/>
                    <w:szCs w:val="24"/>
                    <w:lang w:eastAsia="zh-CN"/>
                  </w:rPr>
                  <m:t>,v</m:t>
                </m:r>
                <m:ctrlPr>
                  <w:rPr>
                    <w:rFonts w:ascii="Cambria Math" w:hAnsi="Cambria Math" w:eastAsiaTheme="minorEastAsia"/>
                    <w:i/>
                    <w:sz w:val="24"/>
                    <w:szCs w:val="24"/>
                    <w:lang w:eastAsia="zh-CN"/>
                  </w:rPr>
                </m:ctrlPr>
              </m:e>
              <m:sub>
                <m:r>
                  <m:rPr/>
                  <w:rPr>
                    <w:rFonts w:ascii="Cambria Math" w:hAnsi="Cambria Math" w:eastAsiaTheme="minorEastAsia"/>
                    <w:sz w:val="24"/>
                    <w:szCs w:val="24"/>
                    <w:lang w:eastAsia="zh-CN"/>
                  </w:rPr>
                  <m:t>i</m:t>
                </m:r>
                <m:ctrlPr>
                  <w:rPr>
                    <w:rFonts w:ascii="Cambria Math" w:hAnsi="Cambria Math" w:eastAsiaTheme="minorEastAsia"/>
                    <w:i/>
                    <w:sz w:val="24"/>
                    <w:szCs w:val="24"/>
                    <w:lang w:eastAsia="zh-CN"/>
                  </w:rPr>
                </m:ctrlPr>
              </m:sub>
            </m:sSub>
            <m:ctrlPr>
              <w:rPr>
                <w:rFonts w:ascii="Cambria Math" w:hAnsi="Cambria Math" w:eastAsiaTheme="minorEastAsia"/>
                <w:i/>
                <w:sz w:val="24"/>
                <w:szCs w:val="24"/>
                <w:lang w:eastAsia="zh-CN"/>
              </w:rPr>
            </m:ctrlPr>
          </m:e>
        </m:d>
      </m:oMath>
      <w:r>
        <w:rPr>
          <w:rFonts w:ascii="Times New Roman" w:hAnsi="Times New Roman" w:eastAsiaTheme="minorEastAsia"/>
          <w:sz w:val="24"/>
          <w:szCs w:val="24"/>
          <w:lang w:eastAsia="zh-CN"/>
        </w:rPr>
        <w:t xml:space="preserve"> denotes the geographic coordinates of the spatial centroid of point i</w:t>
      </w:r>
      <w:r>
        <w:rPr>
          <w:rFonts w:hint="eastAsia" w:ascii="Times New Roman" w:hAnsi="Times New Roman" w:eastAsiaTheme="minorEastAsia"/>
          <w:sz w:val="24"/>
          <w:szCs w:val="24"/>
          <w:lang w:eastAsia="zh-CN"/>
        </w:rPr>
        <w:t>,</w:t>
      </w:r>
      <w:r>
        <w:rPr>
          <w:rFonts w:ascii="Times New Roman" w:hAnsi="Times New Roman" w:eastAsiaTheme="minorEastAsia"/>
          <w:sz w:val="24"/>
          <w:szCs w:val="24"/>
          <w:lang w:eastAsia="zh-CN"/>
        </w:rPr>
        <w:t xml:space="preserve"> </w:t>
      </w:r>
      <m:oMath>
        <m:sSub>
          <m:sSubPr>
            <m:ctrlPr>
              <w:rPr>
                <w:rFonts w:ascii="Cambria Math" w:hAnsi="Cambria Math" w:eastAsiaTheme="minorEastAsia"/>
                <w:i/>
                <w:sz w:val="24"/>
                <w:szCs w:val="24"/>
                <w:lang w:eastAsia="zh-CN"/>
              </w:rPr>
            </m:ctrlPr>
          </m:sSubPr>
          <m:e>
            <m:r>
              <m:rPr/>
              <w:rPr>
                <w:rFonts w:ascii="Cambria Math" w:hAnsi="Cambria Math" w:eastAsiaTheme="minorEastAsia"/>
                <w:sz w:val="24"/>
                <w:szCs w:val="24"/>
                <w:lang w:eastAsia="zh-CN"/>
              </w:rPr>
              <m:t>β</m:t>
            </m:r>
            <m:ctrlPr>
              <w:rPr>
                <w:rFonts w:ascii="Cambria Math" w:hAnsi="Cambria Math" w:eastAsiaTheme="minorEastAsia"/>
                <w:i/>
                <w:sz w:val="24"/>
                <w:szCs w:val="24"/>
                <w:lang w:eastAsia="zh-CN"/>
              </w:rPr>
            </m:ctrlPr>
          </m:e>
          <m:sub>
            <m:r>
              <m:rPr/>
              <w:rPr>
                <w:rFonts w:ascii="Cambria Math" w:hAnsi="Cambria Math" w:eastAsiaTheme="minorEastAsia"/>
                <w:sz w:val="24"/>
                <w:szCs w:val="24"/>
                <w:lang w:eastAsia="zh-CN"/>
              </w:rPr>
              <m:t>0</m:t>
            </m:r>
            <m:ctrlPr>
              <w:rPr>
                <w:rFonts w:ascii="Cambria Math" w:hAnsi="Cambria Math" w:eastAsiaTheme="minorEastAsia"/>
                <w:i/>
                <w:sz w:val="24"/>
                <w:szCs w:val="24"/>
                <w:lang w:eastAsia="zh-CN"/>
              </w:rPr>
            </m:ctrlPr>
          </m:sub>
        </m:sSub>
        <m:d>
          <m:dPr>
            <m:ctrlPr>
              <w:rPr>
                <w:rFonts w:ascii="Cambria Math" w:hAnsi="Cambria Math" w:eastAsiaTheme="minorEastAsia"/>
                <w:i/>
                <w:sz w:val="24"/>
                <w:szCs w:val="24"/>
                <w:lang w:eastAsia="zh-CN"/>
              </w:rPr>
            </m:ctrlPr>
          </m:dPr>
          <m:e>
            <m:sSub>
              <m:sSubPr>
                <m:ctrlPr>
                  <w:rPr>
                    <w:rFonts w:ascii="Cambria Math" w:hAnsi="Cambria Math" w:eastAsiaTheme="minorEastAsia"/>
                    <w:i/>
                    <w:sz w:val="24"/>
                    <w:szCs w:val="24"/>
                    <w:lang w:eastAsia="zh-CN"/>
                  </w:rPr>
                </m:ctrlPr>
              </m:sSubPr>
              <m:e>
                <m:r>
                  <m:rPr/>
                  <w:rPr>
                    <w:rFonts w:ascii="Cambria Math" w:hAnsi="Cambria Math" w:eastAsiaTheme="minorEastAsia"/>
                    <w:sz w:val="24"/>
                    <w:szCs w:val="24"/>
                    <w:lang w:eastAsia="zh-CN"/>
                  </w:rPr>
                  <m:t>u</m:t>
                </m:r>
                <m:ctrlPr>
                  <w:rPr>
                    <w:rFonts w:ascii="Cambria Math" w:hAnsi="Cambria Math" w:eastAsiaTheme="minorEastAsia"/>
                    <w:i/>
                    <w:sz w:val="24"/>
                    <w:szCs w:val="24"/>
                    <w:lang w:eastAsia="zh-CN"/>
                  </w:rPr>
                </m:ctrlPr>
              </m:e>
              <m:sub>
                <m:r>
                  <m:rPr/>
                  <w:rPr>
                    <w:rFonts w:ascii="Cambria Math" w:hAnsi="Cambria Math" w:eastAsiaTheme="minorEastAsia"/>
                    <w:sz w:val="24"/>
                    <w:szCs w:val="24"/>
                    <w:lang w:eastAsia="zh-CN"/>
                  </w:rPr>
                  <m:t>i</m:t>
                </m:r>
                <m:ctrlPr>
                  <w:rPr>
                    <w:rFonts w:ascii="Cambria Math" w:hAnsi="Cambria Math" w:eastAsiaTheme="minorEastAsia"/>
                    <w:i/>
                    <w:sz w:val="24"/>
                    <w:szCs w:val="24"/>
                    <w:lang w:eastAsia="zh-CN"/>
                  </w:rPr>
                </m:ctrlPr>
              </m:sub>
            </m:sSub>
            <m:r>
              <m:rPr/>
              <w:rPr>
                <w:rFonts w:ascii="Cambria Math" w:hAnsi="Cambria Math" w:eastAsiaTheme="minorEastAsia"/>
                <w:sz w:val="24"/>
                <w:szCs w:val="24"/>
                <w:lang w:eastAsia="zh-CN"/>
              </w:rPr>
              <m:t>,</m:t>
            </m:r>
            <m:sSub>
              <m:sSubPr>
                <m:ctrlPr>
                  <w:rPr>
                    <w:rFonts w:ascii="Cambria Math" w:hAnsi="Cambria Math" w:eastAsiaTheme="minorEastAsia"/>
                    <w:i/>
                    <w:sz w:val="24"/>
                    <w:szCs w:val="24"/>
                    <w:lang w:eastAsia="zh-CN"/>
                  </w:rPr>
                </m:ctrlPr>
              </m:sSubPr>
              <m:e>
                <m:r>
                  <m:rPr/>
                  <w:rPr>
                    <w:rFonts w:ascii="Cambria Math" w:hAnsi="Cambria Math" w:eastAsiaTheme="minorEastAsia"/>
                    <w:sz w:val="24"/>
                    <w:szCs w:val="24"/>
                    <w:lang w:eastAsia="zh-CN"/>
                  </w:rPr>
                  <m:t>v</m:t>
                </m:r>
                <m:ctrlPr>
                  <w:rPr>
                    <w:rFonts w:ascii="Cambria Math" w:hAnsi="Cambria Math" w:eastAsiaTheme="minorEastAsia"/>
                    <w:i/>
                    <w:sz w:val="24"/>
                    <w:szCs w:val="24"/>
                    <w:lang w:eastAsia="zh-CN"/>
                  </w:rPr>
                </m:ctrlPr>
              </m:e>
              <m:sub>
                <m:r>
                  <m:rPr/>
                  <w:rPr>
                    <w:rFonts w:ascii="Cambria Math" w:hAnsi="Cambria Math" w:eastAsiaTheme="minorEastAsia"/>
                    <w:sz w:val="24"/>
                    <w:szCs w:val="24"/>
                    <w:lang w:eastAsia="zh-CN"/>
                  </w:rPr>
                  <m:t>i</m:t>
                </m:r>
                <m:ctrlPr>
                  <w:rPr>
                    <w:rFonts w:ascii="Cambria Math" w:hAnsi="Cambria Math" w:eastAsiaTheme="minorEastAsia"/>
                    <w:i/>
                    <w:sz w:val="24"/>
                    <w:szCs w:val="24"/>
                    <w:lang w:eastAsia="zh-CN"/>
                  </w:rPr>
                </m:ctrlPr>
              </m:sub>
            </m:sSub>
            <m:ctrlPr>
              <w:rPr>
                <w:rFonts w:ascii="Cambria Math" w:hAnsi="Cambria Math" w:eastAsiaTheme="minorEastAsia"/>
                <w:i/>
                <w:sz w:val="24"/>
                <w:szCs w:val="24"/>
                <w:lang w:eastAsia="zh-CN"/>
              </w:rPr>
            </m:ctrlPr>
          </m:e>
        </m:d>
      </m:oMath>
      <w:r>
        <w:rPr>
          <w:rFonts w:ascii="Times New Roman" w:hAnsi="Times New Roman" w:eastAsiaTheme="minorEastAsia"/>
          <w:sz w:val="24"/>
          <w:szCs w:val="24"/>
          <w:lang w:eastAsia="zh-CN"/>
        </w:rPr>
        <w:t xml:space="preserve"> represents the spatially varying local intercept</w:t>
      </w:r>
      <w:r>
        <w:rPr>
          <w:rFonts w:hint="eastAsia" w:ascii="Times New Roman" w:hAnsi="Times New Roman" w:eastAsiaTheme="minorEastAsia"/>
          <w:sz w:val="24"/>
          <w:szCs w:val="24"/>
          <w:lang w:eastAsia="zh-CN"/>
        </w:rPr>
        <w:t>,</w:t>
      </w:r>
      <w:r>
        <w:rPr>
          <w:rFonts w:ascii="Times New Roman" w:hAnsi="Times New Roman" w:eastAsiaTheme="minorEastAsia"/>
          <w:sz w:val="24"/>
          <w:szCs w:val="24"/>
          <w:lang w:eastAsia="zh-CN"/>
        </w:rPr>
        <w:t xml:space="preserve"> </w:t>
      </w:r>
      <m:oMath>
        <m:sSub>
          <m:sSubPr>
            <m:ctrlPr>
              <w:rPr>
                <w:rFonts w:ascii="Cambria Math" w:hAnsi="Cambria Math" w:eastAsiaTheme="minorEastAsia"/>
                <w:i/>
                <w:sz w:val="24"/>
                <w:szCs w:val="24"/>
                <w:lang w:eastAsia="zh-CN"/>
              </w:rPr>
            </m:ctrlPr>
          </m:sSubPr>
          <m:e>
            <m:r>
              <m:rPr/>
              <w:rPr>
                <w:rFonts w:ascii="Cambria Math" w:hAnsi="Cambria Math" w:eastAsiaTheme="minorEastAsia"/>
                <w:sz w:val="24"/>
                <w:szCs w:val="24"/>
                <w:lang w:eastAsia="zh-CN"/>
              </w:rPr>
              <m:t>X</m:t>
            </m:r>
            <m:ctrlPr>
              <w:rPr>
                <w:rFonts w:ascii="Cambria Math" w:hAnsi="Cambria Math" w:eastAsiaTheme="minorEastAsia"/>
                <w:i/>
                <w:sz w:val="24"/>
                <w:szCs w:val="24"/>
                <w:lang w:eastAsia="zh-CN"/>
              </w:rPr>
            </m:ctrlPr>
          </m:e>
          <m:sub>
            <m:r>
              <m:rPr/>
              <w:rPr>
                <w:rFonts w:ascii="Cambria Math" w:hAnsi="Cambria Math" w:eastAsiaTheme="minorEastAsia"/>
                <w:sz w:val="24"/>
                <w:szCs w:val="24"/>
                <w:lang w:eastAsia="zh-CN"/>
              </w:rPr>
              <m:t>ij</m:t>
            </m:r>
            <m:ctrlPr>
              <w:rPr>
                <w:rFonts w:ascii="Cambria Math" w:hAnsi="Cambria Math" w:eastAsiaTheme="minorEastAsia"/>
                <w:i/>
                <w:sz w:val="24"/>
                <w:szCs w:val="24"/>
                <w:lang w:eastAsia="zh-CN"/>
              </w:rPr>
            </m:ctrlPr>
          </m:sub>
        </m:sSub>
      </m:oMath>
      <w:r>
        <w:rPr>
          <w:rFonts w:ascii="Times New Roman" w:hAnsi="Times New Roman" w:eastAsiaTheme="minorEastAsia"/>
          <w:sz w:val="24"/>
          <w:szCs w:val="24"/>
          <w:lang w:eastAsia="zh-CN"/>
        </w:rPr>
        <w:t xml:space="preserve"> is the jth explanatory variable at point i, encompassing the core independent variable of wildfire burn severity (dNBR) alongside topographic control variables</w:t>
      </w:r>
      <w:r>
        <w:rPr>
          <w:rFonts w:hint="eastAsia" w:ascii="Times New Roman" w:hAnsi="Times New Roman" w:eastAsiaTheme="minorEastAsia"/>
          <w:sz w:val="24"/>
          <w:szCs w:val="24"/>
          <w:lang w:eastAsia="zh-CN"/>
        </w:rPr>
        <w:t xml:space="preserve"> </w:t>
      </w:r>
      <w:r>
        <w:rPr>
          <w:rFonts w:ascii="Times New Roman" w:hAnsi="Times New Roman" w:eastAsiaTheme="minorEastAsia"/>
          <w:sz w:val="24"/>
          <w:szCs w:val="24"/>
          <w:lang w:eastAsia="zh-CN"/>
        </w:rPr>
        <w:t>to eliminate confounding terrain effects</w:t>
      </w:r>
      <w:r>
        <w:rPr>
          <w:rFonts w:hint="eastAsia" w:ascii="Times New Roman" w:hAnsi="Times New Roman" w:eastAsiaTheme="minorEastAsia"/>
          <w:sz w:val="24"/>
          <w:szCs w:val="24"/>
          <w:lang w:eastAsia="zh-CN"/>
        </w:rPr>
        <w:t>,</w:t>
      </w:r>
      <w:r>
        <w:rPr>
          <w:rFonts w:ascii="Times New Roman" w:hAnsi="Times New Roman" w:eastAsiaTheme="minorEastAsia"/>
          <w:sz w:val="24"/>
          <w:szCs w:val="24"/>
          <w:lang w:eastAsia="zh-CN"/>
        </w:rPr>
        <w:t xml:space="preserve"> bwj represents the optimal spatial bandwidth specific to the estimation of the regression coefficient for the jth variable</w:t>
      </w:r>
      <w:r>
        <w:rPr>
          <w:rFonts w:hint="eastAsia" w:ascii="Times New Roman" w:hAnsi="Times New Roman" w:eastAsiaTheme="minorEastAsia"/>
          <w:sz w:val="24"/>
          <w:szCs w:val="24"/>
          <w:lang w:eastAsia="zh-CN"/>
        </w:rPr>
        <w:t>,</w:t>
      </w:r>
      <w:r>
        <w:rPr>
          <w:rFonts w:ascii="Times New Roman" w:hAnsi="Times New Roman" w:eastAsiaTheme="minorEastAsia"/>
          <w:sz w:val="24"/>
          <w:szCs w:val="24"/>
          <w:lang w:eastAsia="zh-CN"/>
        </w:rPr>
        <w:t xml:space="preserve"> </w:t>
      </w:r>
      <m:oMath>
        <m:sSub>
          <m:sSubPr>
            <m:ctrlPr>
              <w:rPr>
                <w:rFonts w:ascii="Cambria Math" w:hAnsi="Cambria Math" w:eastAsiaTheme="minorEastAsia"/>
                <w:i/>
                <w:sz w:val="24"/>
                <w:szCs w:val="24"/>
                <w:lang w:eastAsia="zh-CN"/>
              </w:rPr>
            </m:ctrlPr>
          </m:sSubPr>
          <m:e>
            <m:r>
              <m:rPr/>
              <w:rPr>
                <w:rFonts w:ascii="Cambria Math" w:hAnsi="Cambria Math" w:eastAsiaTheme="minorEastAsia"/>
                <w:sz w:val="24"/>
                <w:szCs w:val="24"/>
                <w:lang w:eastAsia="zh-CN"/>
              </w:rPr>
              <m:t>β</m:t>
            </m:r>
            <m:ctrlPr>
              <w:rPr>
                <w:rFonts w:ascii="Cambria Math" w:hAnsi="Cambria Math" w:eastAsiaTheme="minorEastAsia"/>
                <w:i/>
                <w:sz w:val="24"/>
                <w:szCs w:val="24"/>
                <w:lang w:eastAsia="zh-CN"/>
              </w:rPr>
            </m:ctrlPr>
          </m:e>
          <m:sub>
            <m:r>
              <m:rPr/>
              <w:rPr>
                <w:rFonts w:ascii="Cambria Math" w:hAnsi="Cambria Math" w:eastAsiaTheme="minorEastAsia"/>
                <w:sz w:val="24"/>
                <w:szCs w:val="24"/>
                <w:lang w:eastAsia="zh-CN"/>
              </w:rPr>
              <m:t>bwj</m:t>
            </m:r>
            <m:ctrlPr>
              <w:rPr>
                <w:rFonts w:ascii="Cambria Math" w:hAnsi="Cambria Math" w:eastAsiaTheme="minorEastAsia"/>
                <w:i/>
                <w:sz w:val="24"/>
                <w:szCs w:val="24"/>
                <w:lang w:eastAsia="zh-CN"/>
              </w:rPr>
            </m:ctrlPr>
          </m:sub>
        </m:sSub>
        <m:d>
          <m:dPr>
            <m:ctrlPr>
              <w:rPr>
                <w:rFonts w:ascii="Cambria Math" w:hAnsi="Cambria Math" w:eastAsiaTheme="minorEastAsia"/>
                <w:i/>
                <w:sz w:val="24"/>
                <w:szCs w:val="24"/>
                <w:lang w:eastAsia="zh-CN"/>
              </w:rPr>
            </m:ctrlPr>
          </m:dPr>
          <m:e>
            <m:sSub>
              <m:sSubPr>
                <m:ctrlPr>
                  <w:rPr>
                    <w:rFonts w:ascii="Cambria Math" w:hAnsi="Cambria Math" w:eastAsiaTheme="minorEastAsia"/>
                    <w:i/>
                    <w:sz w:val="24"/>
                    <w:szCs w:val="24"/>
                    <w:lang w:eastAsia="zh-CN"/>
                  </w:rPr>
                </m:ctrlPr>
              </m:sSubPr>
              <m:e>
                <m:r>
                  <m:rPr/>
                  <w:rPr>
                    <w:rFonts w:ascii="Cambria Math" w:hAnsi="Cambria Math" w:eastAsiaTheme="minorEastAsia"/>
                    <w:sz w:val="24"/>
                    <w:szCs w:val="24"/>
                    <w:lang w:eastAsia="zh-CN"/>
                  </w:rPr>
                  <m:t>u</m:t>
                </m:r>
                <m:ctrlPr>
                  <w:rPr>
                    <w:rFonts w:ascii="Cambria Math" w:hAnsi="Cambria Math" w:eastAsiaTheme="minorEastAsia"/>
                    <w:i/>
                    <w:sz w:val="24"/>
                    <w:szCs w:val="24"/>
                    <w:lang w:eastAsia="zh-CN"/>
                  </w:rPr>
                </m:ctrlPr>
              </m:e>
              <m:sub>
                <m:r>
                  <m:rPr/>
                  <w:rPr>
                    <w:rFonts w:ascii="Cambria Math" w:hAnsi="Cambria Math" w:eastAsiaTheme="minorEastAsia"/>
                    <w:sz w:val="24"/>
                    <w:szCs w:val="24"/>
                    <w:lang w:eastAsia="zh-CN"/>
                  </w:rPr>
                  <m:t>i</m:t>
                </m:r>
                <m:ctrlPr>
                  <w:rPr>
                    <w:rFonts w:ascii="Cambria Math" w:hAnsi="Cambria Math" w:eastAsiaTheme="minorEastAsia"/>
                    <w:i/>
                    <w:sz w:val="24"/>
                    <w:szCs w:val="24"/>
                    <w:lang w:eastAsia="zh-CN"/>
                  </w:rPr>
                </m:ctrlPr>
              </m:sub>
            </m:sSub>
            <m:sSub>
              <m:sSubPr>
                <m:ctrlPr>
                  <w:rPr>
                    <w:rFonts w:ascii="Cambria Math" w:hAnsi="Cambria Math" w:eastAsiaTheme="minorEastAsia"/>
                    <w:i/>
                    <w:sz w:val="24"/>
                    <w:szCs w:val="24"/>
                    <w:lang w:eastAsia="zh-CN"/>
                  </w:rPr>
                </m:ctrlPr>
              </m:sSubPr>
              <m:e>
                <m:r>
                  <m:rPr/>
                  <w:rPr>
                    <w:rFonts w:ascii="Cambria Math" w:hAnsi="Cambria Math" w:eastAsiaTheme="minorEastAsia"/>
                    <w:sz w:val="24"/>
                    <w:szCs w:val="24"/>
                    <w:lang w:eastAsia="zh-CN"/>
                  </w:rPr>
                  <m:t>,v</m:t>
                </m:r>
                <m:ctrlPr>
                  <w:rPr>
                    <w:rFonts w:ascii="Cambria Math" w:hAnsi="Cambria Math" w:eastAsiaTheme="minorEastAsia"/>
                    <w:i/>
                    <w:sz w:val="24"/>
                    <w:szCs w:val="24"/>
                    <w:lang w:eastAsia="zh-CN"/>
                  </w:rPr>
                </m:ctrlPr>
              </m:e>
              <m:sub>
                <m:r>
                  <m:rPr/>
                  <w:rPr>
                    <w:rFonts w:ascii="Cambria Math" w:hAnsi="Cambria Math" w:eastAsiaTheme="minorEastAsia"/>
                    <w:sz w:val="24"/>
                    <w:szCs w:val="24"/>
                    <w:lang w:eastAsia="zh-CN"/>
                  </w:rPr>
                  <m:t>i</m:t>
                </m:r>
                <m:ctrlPr>
                  <w:rPr>
                    <w:rFonts w:ascii="Cambria Math" w:hAnsi="Cambria Math" w:eastAsiaTheme="minorEastAsia"/>
                    <w:i/>
                    <w:sz w:val="24"/>
                    <w:szCs w:val="24"/>
                    <w:lang w:eastAsia="zh-CN"/>
                  </w:rPr>
                </m:ctrlPr>
              </m:sub>
            </m:sSub>
            <m:ctrlPr>
              <w:rPr>
                <w:rFonts w:ascii="Cambria Math" w:hAnsi="Cambria Math" w:eastAsiaTheme="minorEastAsia"/>
                <w:i/>
                <w:sz w:val="24"/>
                <w:szCs w:val="24"/>
                <w:lang w:eastAsia="zh-CN"/>
              </w:rPr>
            </m:ctrlPr>
          </m:e>
        </m:d>
      </m:oMath>
      <w:r>
        <w:rPr>
          <w:rFonts w:ascii="Times New Roman" w:hAnsi="Times New Roman" w:eastAsiaTheme="minorEastAsia"/>
          <w:sz w:val="24"/>
          <w:szCs w:val="24"/>
          <w:lang w:eastAsia="zh-CN"/>
        </w:rPr>
        <w:t xml:space="preserve"> is the local regression coefficient of explanatory variable j at point i, whose sign and magnitude directly reflect the direction and intensity of the wildfire impact on biodiversity</w:t>
      </w:r>
      <w:r>
        <w:rPr>
          <w:rFonts w:hint="eastAsia" w:ascii="Times New Roman" w:hAnsi="Times New Roman" w:eastAsiaTheme="minorEastAsia"/>
          <w:sz w:val="24"/>
          <w:szCs w:val="24"/>
          <w:lang w:eastAsia="zh-CN"/>
        </w:rPr>
        <w:t>,</w:t>
      </w:r>
      <w:r>
        <w:rPr>
          <w:rFonts w:ascii="Times New Roman" w:hAnsi="Times New Roman" w:eastAsiaTheme="minorEastAsia"/>
          <w:sz w:val="24"/>
          <w:szCs w:val="24"/>
          <w:lang w:eastAsia="zh-CN"/>
        </w:rPr>
        <w:t xml:space="preserve"> </w:t>
      </w:r>
      <m:oMath>
        <m:sSub>
          <m:sSubPr>
            <m:ctrlPr>
              <w:rPr>
                <w:rFonts w:ascii="Cambria Math" w:hAnsi="Cambria Math" w:eastAsiaTheme="minorEastAsia"/>
                <w:i/>
                <w:sz w:val="24"/>
                <w:szCs w:val="24"/>
                <w:lang w:eastAsia="zh-CN"/>
              </w:rPr>
            </m:ctrlPr>
          </m:sSubPr>
          <m:e>
            <m:r>
              <m:rPr/>
              <w:rPr>
                <w:rFonts w:ascii="Cambria Math" w:hAnsi="Cambria Math" w:eastAsiaTheme="minorEastAsia"/>
                <w:sz w:val="24"/>
                <w:szCs w:val="24"/>
                <w:lang w:eastAsia="zh-CN"/>
              </w:rPr>
              <m:t>ε</m:t>
            </m:r>
            <m:ctrlPr>
              <w:rPr>
                <w:rFonts w:ascii="Cambria Math" w:hAnsi="Cambria Math" w:eastAsiaTheme="minorEastAsia"/>
                <w:i/>
                <w:sz w:val="24"/>
                <w:szCs w:val="24"/>
                <w:lang w:eastAsia="zh-CN"/>
              </w:rPr>
            </m:ctrlPr>
          </m:e>
          <m:sub>
            <m:r>
              <m:rPr/>
              <w:rPr>
                <w:rFonts w:ascii="Cambria Math" w:hAnsi="Cambria Math" w:eastAsiaTheme="minorEastAsia"/>
                <w:sz w:val="24"/>
                <w:szCs w:val="24"/>
                <w:lang w:eastAsia="zh-CN"/>
              </w:rPr>
              <m:t>i</m:t>
            </m:r>
            <m:ctrlPr>
              <w:rPr>
                <w:rFonts w:ascii="Cambria Math" w:hAnsi="Cambria Math" w:eastAsiaTheme="minorEastAsia"/>
                <w:i/>
                <w:sz w:val="24"/>
                <w:szCs w:val="24"/>
                <w:lang w:eastAsia="zh-CN"/>
              </w:rPr>
            </m:ctrlPr>
          </m:sub>
        </m:sSub>
      </m:oMath>
      <w:r>
        <w:rPr>
          <w:rFonts w:ascii="Times New Roman" w:hAnsi="Times New Roman" w:eastAsiaTheme="minorEastAsia"/>
          <w:sz w:val="24"/>
          <w:szCs w:val="24"/>
          <w:lang w:eastAsia="zh-CN"/>
        </w:rPr>
        <w:t xml:space="preserve"> is the spatially independent random error term</w:t>
      </w:r>
      <w:r>
        <w:rPr>
          <w:rFonts w:ascii="Times New Roman" w:hAnsi="Times New Roman" w:eastAsiaTheme="minorEastAsia"/>
          <w:sz w:val="24"/>
          <w:szCs w:val="24"/>
          <w:lang w:eastAsia="zh-CN"/>
        </w:rPr>
        <w:fldChar w:fldCharType="begin"/>
      </w:r>
      <w:r>
        <w:rPr>
          <w:rFonts w:ascii="Times New Roman" w:hAnsi="Times New Roman" w:eastAsiaTheme="minorEastAsia"/>
          <w:sz w:val="24"/>
          <w:szCs w:val="24"/>
          <w:lang w:eastAsia="zh-CN"/>
        </w:rPr>
        <w:instrText xml:space="preserve"> ADDIN ZOTERO_ITEM CSL_CITATION {"citationID":"C4cU2oBG","properties":{"unsorted":false,"formattedCitation":"(Fotheringham et al., 2017)","plainCitation":"(Fotheringham et al., 2017)","noteIndex":0},"citationItems":[{"id":475,"uris":["http://zotero.org/users/17543282/items/7K6PVW2J"],"itemData":{"id":475,"type":"article-journal","container-title":"Annals of the American Association of Geographers","DOI":"10.1080/24694452.2017.1352480","ISSN":"2469-4452, 2469-4460","issue":"6","journalAbbreviation":"Annals of the American Association of Geographers","language":"en","page":"1247-1265","source":"DOI.org (Crossref)","title":"Multiscale Geographically Weighted Regression (MGWR)","volume":"107","author":[{"family":"Fotheringham","given":"A. Stewart"},{"family":"Yang","given":"Wenbai"},{"family":"Kang","given":"Wei"}],"issued":{"date-parts":[["2017",11,2]]}}}],"schema":"https://github.com/citation-style-language/schema/raw/master/csl-citation.json"} </w:instrText>
      </w:r>
      <w:r>
        <w:rPr>
          <w:rFonts w:ascii="Times New Roman" w:hAnsi="Times New Roman" w:eastAsiaTheme="minorEastAsia"/>
          <w:sz w:val="24"/>
          <w:szCs w:val="24"/>
          <w:lang w:eastAsia="zh-CN"/>
        </w:rPr>
        <w:fldChar w:fldCharType="separate"/>
      </w:r>
      <w:r>
        <w:rPr>
          <w:rFonts w:ascii="Times New Roman" w:hAnsi="Times New Roman" w:eastAsiaTheme="minorEastAsia"/>
          <w:sz w:val="24"/>
        </w:rPr>
        <w:t>(Fotheringham et al., 2017)</w:t>
      </w:r>
      <w:r>
        <w:rPr>
          <w:rFonts w:ascii="Times New Roman" w:hAnsi="Times New Roman" w:eastAsiaTheme="minorEastAsia"/>
          <w:sz w:val="24"/>
          <w:szCs w:val="24"/>
          <w:lang w:eastAsia="zh-CN"/>
        </w:rPr>
        <w:fldChar w:fldCharType="end"/>
      </w:r>
      <w:r>
        <w:rPr>
          <w:rFonts w:ascii="Times New Roman" w:hAnsi="Times New Roman" w:eastAsiaTheme="minorEastAsia"/>
          <w:sz w:val="24"/>
          <w:szCs w:val="24"/>
          <w:lang w:eastAsia="zh-CN"/>
        </w:rPr>
        <w:t>.</w:t>
      </w:r>
    </w:p>
    <w:p w14:paraId="155E6006">
      <w:pPr>
        <w:pStyle w:val="33"/>
        <w:spacing w:line="240" w:lineRule="auto"/>
        <w:ind w:left="0" w:firstLine="0"/>
        <w:rPr>
          <w:rFonts w:ascii="Times New Roman" w:hAnsi="Times New Roman" w:eastAsiaTheme="minorEastAsia"/>
          <w:sz w:val="24"/>
          <w:szCs w:val="24"/>
          <w:lang w:eastAsia="zh-CN"/>
        </w:rPr>
      </w:pPr>
      <w:r>
        <w:rPr>
          <w:rFonts w:ascii="Times New Roman" w:hAnsi="Times New Roman" w:eastAsiaTheme="minorEastAsia"/>
          <w:sz w:val="24"/>
          <w:szCs w:val="24"/>
          <w:lang w:eastAsia="zh-CN"/>
        </w:rPr>
        <w:t>During parameter estimation, an adaptive bisquare kernel function is utilized to construct the spatial weight matrix, and the minimization of the corrected Akaike Information Criterion (AICc) serves as the convergence criterion. The optimal bandwidth for each variable is iteratively determined using a back-fitting algorithm. Finally, the statistical significance of the coefficients is evaluated using local t-test statistics to comparatively analyze the spatial patchiness and significance patterns of wildfire severity impacts across the Hughes, Palisades, and Eaton fire.</w:t>
      </w:r>
    </w:p>
    <w:p w14:paraId="6A85AEED">
      <w:pPr>
        <w:pStyle w:val="33"/>
        <w:spacing w:line="240" w:lineRule="auto"/>
        <w:ind w:left="0" w:firstLine="0"/>
        <w:rPr>
          <w:rFonts w:ascii="Times New Roman" w:hAnsi="Times New Roman" w:eastAsiaTheme="minorEastAsia"/>
          <w:sz w:val="24"/>
          <w:szCs w:val="24"/>
          <w:lang w:eastAsia="zh-CN"/>
        </w:rPr>
      </w:pPr>
      <w:r>
        <w:rPr>
          <w:rFonts w:ascii="Times New Roman" w:hAnsi="Times New Roman" w:eastAsiaTheme="minorEastAsia"/>
          <w:sz w:val="24"/>
          <w:szCs w:val="24"/>
          <w:lang w:eastAsia="zh-CN"/>
        </w:rPr>
        <w:t>All statistical analyses were performed in R 4.5.0, ArcGIS 10.7 was used for visualization.</w:t>
      </w:r>
    </w:p>
    <w:p w14:paraId="105B9ACC">
      <w:pPr>
        <w:pStyle w:val="48"/>
        <w:spacing w:before="240" w:line="240" w:lineRule="auto"/>
        <w:ind w:left="0"/>
        <w:rPr>
          <w:rFonts w:ascii="Times New Roman" w:hAnsi="Times New Roman" w:eastAsiaTheme="minorEastAsia"/>
          <w:i w:val="0"/>
          <w:iCs/>
          <w:sz w:val="24"/>
          <w:szCs w:val="24"/>
          <w:lang w:eastAsia="zh-CN"/>
        </w:rPr>
      </w:pPr>
      <w:r>
        <w:rPr>
          <w:rFonts w:ascii="Times New Roman" w:hAnsi="Times New Roman" w:eastAsiaTheme="minorEastAsia"/>
          <w:i w:val="0"/>
          <w:iCs/>
          <w:sz w:val="24"/>
          <w:szCs w:val="24"/>
          <w:lang w:eastAsia="zh-CN"/>
        </w:rPr>
        <w:t>2.5 Technical Workflow Overview</w:t>
      </w:r>
    </w:p>
    <w:p w14:paraId="58663D89">
      <w:pPr>
        <w:pStyle w:val="33"/>
        <w:spacing w:line="240" w:lineRule="auto"/>
        <w:ind w:left="0" w:firstLine="0"/>
        <w:rPr>
          <w:rFonts w:ascii="Times New Roman" w:hAnsi="Times New Roman" w:eastAsiaTheme="minorEastAsia"/>
          <w:sz w:val="24"/>
          <w:szCs w:val="24"/>
          <w:lang w:eastAsia="zh-CN"/>
        </w:rPr>
      </w:pPr>
      <w:r>
        <w:rPr>
          <w:rFonts w:ascii="Times New Roman" w:hAnsi="Times New Roman" w:eastAsiaTheme="minorEastAsia"/>
          <w:sz w:val="24"/>
          <w:szCs w:val="24"/>
          <w:lang w:eastAsia="zh-CN"/>
        </w:rPr>
        <w:t>The technical workflow of the study is shown in Figure 2.</w:t>
      </w:r>
    </w:p>
    <w:p w14:paraId="3F7DE8C8">
      <w:pPr>
        <w:pStyle w:val="33"/>
        <w:spacing w:line="240" w:lineRule="auto"/>
        <w:ind w:left="0" w:firstLine="0"/>
        <w:rPr>
          <w:rFonts w:ascii="Times New Roman" w:hAnsi="Times New Roman" w:eastAsiaTheme="minorEastAsia"/>
          <w:sz w:val="24"/>
          <w:szCs w:val="24"/>
          <w:lang w:eastAsia="zh-CN"/>
        </w:rPr>
      </w:pPr>
      <w:r>
        <w:rPr>
          <w:rFonts w:ascii="Times New Roman" w:hAnsi="Times New Roman" w:eastAsiaTheme="minorEastAsia"/>
          <w:snapToGrid/>
          <w:sz w:val="24"/>
          <w:szCs w:val="24"/>
          <w:lang w:eastAsia="zh-CN"/>
        </w:rPr>
        <w:drawing>
          <wp:inline distT="0" distB="0" distL="0" distR="0">
            <wp:extent cx="6383020" cy="4457065"/>
            <wp:effectExtent l="0" t="0" r="0" b="635"/>
            <wp:docPr id="15082638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63862" name="图片 2"/>
                    <pic:cNvPicPr>
                      <a:picLocks noChangeAspect="1"/>
                    </pic:cNvPicPr>
                  </pic:nvPicPr>
                  <pic:blipFill>
                    <a:blip r:embed="rId12"/>
                    <a:stretch>
                      <a:fillRect/>
                    </a:stretch>
                  </pic:blipFill>
                  <pic:spPr>
                    <a:xfrm>
                      <a:off x="0" y="0"/>
                      <a:ext cx="6383020" cy="4457296"/>
                    </a:xfrm>
                    <a:prstGeom prst="rect">
                      <a:avLst/>
                    </a:prstGeom>
                  </pic:spPr>
                </pic:pic>
              </a:graphicData>
            </a:graphic>
          </wp:inline>
        </w:drawing>
      </w:r>
    </w:p>
    <w:p w14:paraId="45B927C0">
      <w:pPr>
        <w:pStyle w:val="33"/>
        <w:spacing w:line="240" w:lineRule="auto"/>
        <w:ind w:left="0" w:firstLine="0"/>
        <w:jc w:val="center"/>
        <w:rPr>
          <w:rFonts w:ascii="Times New Roman" w:hAnsi="Times New Roman" w:eastAsiaTheme="minorEastAsia"/>
          <w:sz w:val="24"/>
          <w:szCs w:val="24"/>
          <w:lang w:eastAsia="zh-CN"/>
        </w:rPr>
      </w:pPr>
      <w:r>
        <w:rPr>
          <w:rFonts w:ascii="Times New Roman" w:hAnsi="Times New Roman" w:eastAsiaTheme="minorEastAsia"/>
          <w:sz w:val="24"/>
          <w:szCs w:val="24"/>
          <w:lang w:eastAsia="zh-CN"/>
        </w:rPr>
        <w:t>Figure 2. Research Roadmap</w:t>
      </w:r>
    </w:p>
    <w:p w14:paraId="726286AF">
      <w:pPr>
        <w:pStyle w:val="47"/>
        <w:spacing w:line="240" w:lineRule="auto"/>
        <w:ind w:left="0"/>
        <w:rPr>
          <w:rFonts w:ascii="Times New Roman" w:hAnsi="Times New Roman" w:eastAsiaTheme="minorEastAsia"/>
          <w:szCs w:val="24"/>
          <w:lang w:eastAsia="zh-CN"/>
        </w:rPr>
      </w:pPr>
      <w:r>
        <w:rPr>
          <w:rFonts w:ascii="Times New Roman" w:hAnsi="Times New Roman"/>
          <w:szCs w:val="24"/>
        </w:rPr>
        <w:t>3. Results</w:t>
      </w:r>
    </w:p>
    <w:p w14:paraId="48D5CC34">
      <w:pPr>
        <w:pStyle w:val="48"/>
        <w:spacing w:before="240" w:line="240" w:lineRule="auto"/>
        <w:ind w:left="0"/>
        <w:rPr>
          <w:rFonts w:ascii="Times New Roman" w:hAnsi="Times New Roman" w:eastAsiaTheme="minorEastAsia"/>
          <w:i w:val="0"/>
          <w:iCs/>
          <w:sz w:val="24"/>
          <w:szCs w:val="24"/>
          <w:lang w:eastAsia="zh-CN"/>
        </w:rPr>
      </w:pPr>
      <w:bookmarkStart w:id="2" w:name="_Hlk227229484"/>
      <w:bookmarkStart w:id="3" w:name="_Hlk228978393"/>
      <w:r>
        <w:rPr>
          <w:rFonts w:ascii="Times New Roman" w:hAnsi="Times New Roman"/>
          <w:i w:val="0"/>
          <w:iCs/>
          <w:sz w:val="24"/>
          <w:szCs w:val="24"/>
        </w:rPr>
        <w:t xml:space="preserve">3.1. </w:t>
      </w:r>
      <w:r>
        <w:rPr>
          <w:rFonts w:ascii="Times New Roman" w:hAnsi="Times New Roman" w:eastAsiaTheme="minorEastAsia"/>
          <w:i w:val="0"/>
          <w:iCs/>
          <w:sz w:val="24"/>
          <w:szCs w:val="24"/>
          <w:lang w:eastAsia="zh-CN"/>
        </w:rPr>
        <w:t>Wildf</w:t>
      </w:r>
      <w:r>
        <w:rPr>
          <w:rFonts w:ascii="Times New Roman" w:hAnsi="Times New Roman"/>
          <w:i w:val="0"/>
          <w:iCs/>
          <w:sz w:val="24"/>
          <w:szCs w:val="24"/>
        </w:rPr>
        <w:t xml:space="preserve">ire Distribution </w:t>
      </w:r>
      <w:r>
        <w:rPr>
          <w:rFonts w:ascii="Times New Roman" w:hAnsi="Times New Roman" w:eastAsiaTheme="minorEastAsia"/>
          <w:i w:val="0"/>
          <w:iCs/>
          <w:sz w:val="24"/>
          <w:szCs w:val="24"/>
          <w:lang w:eastAsia="zh-CN"/>
        </w:rPr>
        <w:t xml:space="preserve">and Severity </w:t>
      </w:r>
      <w:r>
        <w:rPr>
          <w:rFonts w:ascii="Times New Roman" w:hAnsi="Times New Roman"/>
          <w:i w:val="0"/>
          <w:iCs/>
          <w:sz w:val="24"/>
          <w:szCs w:val="24"/>
        </w:rPr>
        <w:t>Interpreted by Remote Sensing and U-Net</w:t>
      </w:r>
    </w:p>
    <w:bookmarkEnd w:id="2"/>
    <w:p w14:paraId="1D4C7FD2">
      <w:pPr>
        <w:pStyle w:val="33"/>
        <w:spacing w:line="240" w:lineRule="auto"/>
        <w:ind w:left="0" w:firstLine="0"/>
        <w:rPr>
          <w:rFonts w:ascii="Times New Roman" w:hAnsi="Times New Roman" w:eastAsiaTheme="minorEastAsia"/>
          <w:sz w:val="24"/>
          <w:szCs w:val="24"/>
          <w:lang w:eastAsia="zh-CN"/>
        </w:rPr>
      </w:pPr>
      <w:r>
        <w:rPr>
          <w:rFonts w:ascii="Times New Roman" w:hAnsi="Times New Roman" w:eastAsiaTheme="minorEastAsia"/>
          <w:sz w:val="24"/>
          <w:szCs w:val="24"/>
          <w:lang w:eastAsia="zh-CN"/>
        </w:rPr>
        <w:t>The burned area map of the 2025 Los Angeles fires derived from U-Net-based extraction is presented in the left panel of Figure 3. By exploiting Sentinel-2 imagery at 10 m spatial resolution, the method successfully delineates three major wildfire events—Palisades, Eaton and Hughes</w:t>
      </w:r>
      <w:r>
        <w:rPr>
          <w:rFonts w:ascii="Times New Roman" w:hAnsi="Times New Roman" w:eastAsiaTheme="minorEastAsia"/>
          <w:sz w:val="24"/>
          <w:szCs w:val="24"/>
          <w:lang w:eastAsia="zh-CN"/>
        </w:rPr>
        <w:fldChar w:fldCharType="begin"/>
      </w:r>
      <w:r>
        <w:rPr>
          <w:rFonts w:ascii="Times New Roman" w:hAnsi="Times New Roman" w:eastAsiaTheme="minorEastAsia"/>
          <w:sz w:val="24"/>
          <w:szCs w:val="24"/>
          <w:lang w:eastAsia="zh-CN"/>
        </w:rPr>
        <w:instrText xml:space="preserve"> ADDIN ZOTERO_ITEM CSL_CITATION {"citationID":"VP8VWzzA","properties":{"formattedCitation":"(CAL FIRE, 2025)","plainCitation":"(CAL FIRE, 2025)","noteIndex":0},"citationItems":[{"id":336,"uris":["http://zotero.org/users/17543282/items/XSVCQSEN"],"itemData":{"id":336,"type":"webpage","abstract":"Page text body will be here.","container-title":"CAL FIRE","language":"en","title":"2025 Fire Season Incident Archive","URL":"https://www.fire.ca.gov/incidents/2025","author":[{"literal":"CAL FIRE"}],"accessed":{"date-parts":[["2026",3,24]]},"issued":{"date-parts":[["2025"]]}}}],"schema":"https://github.com/citation-style-language/schema/raw/master/csl-citation.json"} </w:instrText>
      </w:r>
      <w:r>
        <w:rPr>
          <w:rFonts w:ascii="Times New Roman" w:hAnsi="Times New Roman" w:eastAsiaTheme="minorEastAsia"/>
          <w:sz w:val="24"/>
          <w:szCs w:val="24"/>
          <w:lang w:eastAsia="zh-CN"/>
        </w:rPr>
        <w:fldChar w:fldCharType="separate"/>
      </w:r>
      <w:r>
        <w:rPr>
          <w:rFonts w:ascii="Times New Roman" w:hAnsi="Times New Roman" w:eastAsiaTheme="minorEastAsia"/>
          <w:sz w:val="24"/>
        </w:rPr>
        <w:t>(CAL FIRE, 2025)</w:t>
      </w:r>
      <w:r>
        <w:rPr>
          <w:rFonts w:ascii="Times New Roman" w:hAnsi="Times New Roman" w:eastAsiaTheme="minorEastAsia"/>
          <w:sz w:val="24"/>
          <w:szCs w:val="24"/>
          <w:lang w:eastAsia="zh-CN"/>
        </w:rPr>
        <w:fldChar w:fldCharType="end"/>
      </w:r>
      <w:r>
        <w:rPr>
          <w:rFonts w:ascii="Times New Roman" w:hAnsi="Times New Roman" w:eastAsiaTheme="minorEastAsia"/>
          <w:sz w:val="24"/>
          <w:szCs w:val="24"/>
          <w:lang w:eastAsia="zh-CN"/>
        </w:rPr>
        <w:t xml:space="preserve">. Compared to operational fire products from moderate-resolution sensors such as MODIS (500 m), our result captures the dominant fire trend with markedly higher spatial detail (see Appendix </w:t>
      </w:r>
      <w:r>
        <w:rPr>
          <w:rFonts w:hint="eastAsia" w:ascii="Times New Roman" w:hAnsi="Times New Roman" w:eastAsiaTheme="minorEastAsia"/>
          <w:sz w:val="24"/>
          <w:szCs w:val="24"/>
          <w:lang w:eastAsia="zh-CN"/>
        </w:rPr>
        <w:t>A.</w:t>
      </w:r>
      <w:r>
        <w:rPr>
          <w:rFonts w:ascii="Times New Roman" w:hAnsi="Times New Roman" w:eastAsiaTheme="minorEastAsia"/>
          <w:sz w:val="24"/>
          <w:szCs w:val="24"/>
          <w:lang w:eastAsia="zh-CN"/>
        </w:rPr>
        <w:t>3, taken fires happened in January as an example). Based on the fire map (Figure 3), we have identified a total burn area of approximately 213.52 Km</w:t>
      </w:r>
      <w:r>
        <w:rPr>
          <w:rFonts w:ascii="Times New Roman" w:hAnsi="Times New Roman" w:eastAsiaTheme="minorEastAsia"/>
          <w:sz w:val="24"/>
          <w:szCs w:val="24"/>
          <w:vertAlign w:val="superscript"/>
          <w:lang w:eastAsia="zh-CN"/>
        </w:rPr>
        <w:t>2</w:t>
      </w:r>
      <w:r>
        <w:rPr>
          <w:rFonts w:ascii="Times New Roman" w:hAnsi="Times New Roman" w:eastAsiaTheme="minorEastAsia"/>
          <w:sz w:val="24"/>
          <w:szCs w:val="24"/>
          <w:lang w:eastAsia="zh-CN"/>
        </w:rPr>
        <w:t>. The largest of these wildfires—Palisades, Eaton and Hughes—covered approximately 82.48, 41.21 and 40.48 Km</w:t>
      </w:r>
      <w:r>
        <w:rPr>
          <w:rFonts w:ascii="Times New Roman" w:hAnsi="Times New Roman" w:eastAsiaTheme="minorEastAsia"/>
          <w:sz w:val="24"/>
          <w:szCs w:val="24"/>
          <w:vertAlign w:val="superscript"/>
          <w:lang w:eastAsia="zh-CN"/>
        </w:rPr>
        <w:t>2</w:t>
      </w:r>
      <w:r>
        <w:rPr>
          <w:rFonts w:ascii="Times New Roman" w:hAnsi="Times New Roman" w:eastAsiaTheme="minorEastAsia"/>
          <w:sz w:val="24"/>
          <w:szCs w:val="24"/>
          <w:lang w:eastAsia="zh-CN"/>
        </w:rPr>
        <w:t xml:space="preserve"> respectively (Figure 3.b, Figure 3.c, Figure 3.a). The largest burnt areas are concentrated in the central-western and south-western parts of Los Angeles.</w:t>
      </w:r>
    </w:p>
    <w:p w14:paraId="0EC1E2DB">
      <w:pPr>
        <w:pStyle w:val="33"/>
        <w:spacing w:line="240" w:lineRule="auto"/>
        <w:ind w:left="0" w:firstLine="0"/>
        <w:jc w:val="center"/>
        <w:rPr>
          <w:rFonts w:ascii="Times New Roman" w:hAnsi="Times New Roman" w:eastAsiaTheme="minorEastAsia"/>
          <w:sz w:val="24"/>
          <w:szCs w:val="24"/>
          <w:lang w:eastAsia="zh-CN"/>
        </w:rPr>
      </w:pPr>
      <w:r>
        <w:rPr>
          <w:rFonts w:ascii="Times New Roman" w:hAnsi="Times New Roman" w:eastAsiaTheme="minorEastAsia"/>
          <w:snapToGrid/>
          <w:sz w:val="24"/>
          <w:szCs w:val="24"/>
          <w:lang w:eastAsia="zh-CN"/>
        </w:rPr>
        <w:drawing>
          <wp:inline distT="0" distB="0" distL="0" distR="0">
            <wp:extent cx="6645275" cy="3471545"/>
            <wp:effectExtent l="0" t="0" r="3175" b="0"/>
            <wp:docPr id="7249023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02363" name="图片 1"/>
                    <pic:cNvPicPr>
                      <a:picLocks noChangeAspect="1"/>
                    </pic:cNvPicPr>
                  </pic:nvPicPr>
                  <pic:blipFill>
                    <a:blip r:embed="rId13"/>
                    <a:stretch>
                      <a:fillRect/>
                    </a:stretch>
                  </pic:blipFill>
                  <pic:spPr>
                    <a:xfrm>
                      <a:off x="0" y="0"/>
                      <a:ext cx="6645600" cy="3472018"/>
                    </a:xfrm>
                    <a:prstGeom prst="rect">
                      <a:avLst/>
                    </a:prstGeom>
                  </pic:spPr>
                </pic:pic>
              </a:graphicData>
            </a:graphic>
          </wp:inline>
        </w:drawing>
      </w:r>
    </w:p>
    <w:p w14:paraId="4C1D1214">
      <w:pPr>
        <w:pStyle w:val="33"/>
        <w:spacing w:line="240" w:lineRule="auto"/>
        <w:ind w:left="0" w:firstLine="0"/>
        <w:jc w:val="center"/>
        <w:rPr>
          <w:rFonts w:ascii="Times New Roman" w:hAnsi="Times New Roman" w:eastAsiaTheme="minorEastAsia"/>
          <w:sz w:val="24"/>
          <w:szCs w:val="24"/>
          <w:lang w:eastAsia="zh-CN"/>
        </w:rPr>
      </w:pPr>
      <w:r>
        <w:rPr>
          <w:rFonts w:ascii="Times New Roman" w:hAnsi="Times New Roman" w:eastAsiaTheme="minorEastAsia"/>
          <w:sz w:val="24"/>
          <w:szCs w:val="24"/>
          <w:lang w:eastAsia="zh-CN"/>
        </w:rPr>
        <w:t>Figure 3. Wildfire Extraction Based on Sentinel-2 and U-Net</w:t>
      </w:r>
    </w:p>
    <w:p w14:paraId="75833528">
      <w:pPr>
        <w:pStyle w:val="33"/>
        <w:spacing w:line="240" w:lineRule="auto"/>
        <w:ind w:left="0" w:firstLine="0"/>
        <w:rPr>
          <w:rFonts w:ascii="Times New Roman" w:hAnsi="Times New Roman" w:eastAsiaTheme="minorEastAsia"/>
          <w:sz w:val="24"/>
          <w:szCs w:val="24"/>
          <w:lang w:eastAsia="zh-CN"/>
        </w:rPr>
      </w:pPr>
      <w:r>
        <w:rPr>
          <w:rFonts w:ascii="Times New Roman" w:hAnsi="Times New Roman" w:eastAsiaTheme="minorEastAsia"/>
          <w:sz w:val="24"/>
          <w:szCs w:val="24"/>
          <w:lang w:eastAsia="zh-CN"/>
        </w:rPr>
        <w:t>Fire severity is illustrated in Figure 4. Overall, the burned areas in Los Angeles exhibited relatively high burn severity. Among the three major wildfires with the largest affected areas (Figures 4a, b, and c), the Palisades Fire displayed a predominantly large proportion of high-severity burn areas, accounting for 45.58% of its total extent, followed by the Eaton Fire at 27.35%.</w:t>
      </w:r>
    </w:p>
    <w:p w14:paraId="05156D32">
      <w:pPr>
        <w:pStyle w:val="33"/>
        <w:spacing w:line="240" w:lineRule="auto"/>
        <w:ind w:left="0" w:firstLine="0"/>
        <w:rPr>
          <w:rFonts w:ascii="Times New Roman" w:hAnsi="Times New Roman" w:eastAsiaTheme="minorEastAsia"/>
          <w:sz w:val="24"/>
          <w:szCs w:val="24"/>
          <w:lang w:eastAsia="zh-CN"/>
        </w:rPr>
      </w:pPr>
      <w:r>
        <w:rPr>
          <w:rFonts w:ascii="Times New Roman" w:hAnsi="Times New Roman" w:eastAsiaTheme="minorEastAsia"/>
          <w:sz w:val="24"/>
          <w:szCs w:val="24"/>
          <w:lang w:eastAsia="zh-CN"/>
        </w:rPr>
        <w:drawing>
          <wp:inline distT="0" distB="0" distL="0" distR="0">
            <wp:extent cx="6640195" cy="3533140"/>
            <wp:effectExtent l="0" t="0" r="8255" b="0"/>
            <wp:docPr id="15535140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14013" name="图片 2"/>
                    <pic:cNvPicPr>
                      <a:picLocks noChangeAspect="1" noChangeArrowheads="1"/>
                    </pic:cNvPicPr>
                  </pic:nvPicPr>
                  <pic:blipFill>
                    <a:blip r:embed="rId14"/>
                    <a:stretch>
                      <a:fillRect/>
                    </a:stretch>
                  </pic:blipFill>
                  <pic:spPr>
                    <a:xfrm>
                      <a:off x="0" y="0"/>
                      <a:ext cx="6640195" cy="3533195"/>
                    </a:xfrm>
                    <a:prstGeom prst="rect">
                      <a:avLst/>
                    </a:prstGeom>
                    <a:noFill/>
                    <a:ln>
                      <a:noFill/>
                    </a:ln>
                  </pic:spPr>
                </pic:pic>
              </a:graphicData>
            </a:graphic>
          </wp:inline>
        </w:drawing>
      </w:r>
    </w:p>
    <w:p w14:paraId="3F28C392">
      <w:pPr>
        <w:pStyle w:val="33"/>
        <w:spacing w:line="240" w:lineRule="auto"/>
        <w:ind w:left="0" w:firstLine="0"/>
        <w:jc w:val="center"/>
        <w:rPr>
          <w:rFonts w:ascii="Times New Roman" w:hAnsi="Times New Roman" w:eastAsiaTheme="minorEastAsia"/>
          <w:sz w:val="24"/>
          <w:szCs w:val="24"/>
          <w:lang w:eastAsia="zh-CN"/>
        </w:rPr>
      </w:pPr>
      <w:r>
        <w:rPr>
          <w:rFonts w:ascii="Times New Roman" w:hAnsi="Times New Roman" w:eastAsiaTheme="minorEastAsia"/>
          <w:sz w:val="24"/>
          <w:szCs w:val="24"/>
          <w:lang w:eastAsia="zh-CN"/>
        </w:rPr>
        <w:t>Figure 4. Fire intensity map</w:t>
      </w:r>
    </w:p>
    <w:bookmarkEnd w:id="3"/>
    <w:p w14:paraId="30DCD763">
      <w:pPr>
        <w:pStyle w:val="48"/>
        <w:spacing w:before="240" w:line="240" w:lineRule="auto"/>
        <w:ind w:left="0"/>
        <w:rPr>
          <w:rFonts w:ascii="Times New Roman" w:hAnsi="Times New Roman" w:eastAsiaTheme="minorEastAsia"/>
          <w:i w:val="0"/>
          <w:iCs/>
          <w:sz w:val="24"/>
          <w:szCs w:val="24"/>
          <w:lang w:eastAsia="zh-CN"/>
        </w:rPr>
      </w:pPr>
      <w:r>
        <w:rPr>
          <w:rFonts w:ascii="Times New Roman" w:hAnsi="Times New Roman"/>
          <w:i w:val="0"/>
          <w:iCs/>
          <w:sz w:val="24"/>
          <w:szCs w:val="24"/>
        </w:rPr>
        <w:t>3.</w:t>
      </w:r>
      <w:r>
        <w:rPr>
          <w:rFonts w:ascii="Times New Roman" w:hAnsi="Times New Roman" w:eastAsiaTheme="minorEastAsia"/>
          <w:i w:val="0"/>
          <w:iCs/>
          <w:sz w:val="24"/>
          <w:szCs w:val="24"/>
          <w:lang w:eastAsia="zh-CN"/>
        </w:rPr>
        <w:t>2</w:t>
      </w:r>
      <w:r>
        <w:rPr>
          <w:rFonts w:ascii="Times New Roman" w:hAnsi="Times New Roman"/>
          <w:i w:val="0"/>
          <w:iCs/>
          <w:sz w:val="24"/>
          <w:szCs w:val="24"/>
        </w:rPr>
        <w:t xml:space="preserve">. </w:t>
      </w:r>
      <w:r>
        <w:rPr>
          <w:rFonts w:ascii="Times New Roman" w:hAnsi="Times New Roman" w:eastAsiaTheme="minorEastAsia"/>
          <w:i w:val="0"/>
          <w:iCs/>
          <w:sz w:val="24"/>
          <w:szCs w:val="24"/>
          <w:lang w:eastAsia="zh-CN"/>
        </w:rPr>
        <w:t>Post-wildfire Change</w:t>
      </w:r>
      <w:r>
        <w:rPr>
          <w:rFonts w:ascii="Times New Roman" w:hAnsi="Times New Roman"/>
          <w:i w:val="0"/>
          <w:iCs/>
          <w:sz w:val="24"/>
          <w:szCs w:val="24"/>
        </w:rPr>
        <w:t xml:space="preserve"> </w:t>
      </w:r>
      <w:r>
        <w:rPr>
          <w:rFonts w:ascii="Times New Roman" w:hAnsi="Times New Roman" w:eastAsiaTheme="minorEastAsia"/>
          <w:i w:val="0"/>
          <w:iCs/>
          <w:sz w:val="24"/>
          <w:szCs w:val="24"/>
          <w:lang w:eastAsia="zh-CN"/>
        </w:rPr>
        <w:t xml:space="preserve">in </w:t>
      </w:r>
      <w:r>
        <w:rPr>
          <w:rFonts w:ascii="Times New Roman" w:hAnsi="Times New Roman"/>
          <w:i w:val="0"/>
          <w:iCs/>
          <w:sz w:val="24"/>
          <w:szCs w:val="24"/>
        </w:rPr>
        <w:t xml:space="preserve">Terrestrial Vertebrate </w:t>
      </w:r>
      <w:r>
        <w:rPr>
          <w:rFonts w:ascii="Times New Roman" w:hAnsi="Times New Roman" w:eastAsiaTheme="minorEastAsia"/>
          <w:i w:val="0"/>
          <w:iCs/>
          <w:sz w:val="24"/>
          <w:szCs w:val="24"/>
          <w:lang w:eastAsia="zh-CN"/>
        </w:rPr>
        <w:t>Biodiversity</w:t>
      </w:r>
    </w:p>
    <w:p w14:paraId="315AEBC3">
      <w:pPr>
        <w:pStyle w:val="33"/>
        <w:spacing w:line="240" w:lineRule="auto"/>
        <w:ind w:left="0" w:firstLine="0"/>
        <w:rPr>
          <w:rFonts w:ascii="Times New Roman" w:hAnsi="Times New Roman" w:eastAsiaTheme="minorEastAsia"/>
          <w:sz w:val="24"/>
          <w:szCs w:val="24"/>
          <w:lang w:eastAsia="zh-CN"/>
        </w:rPr>
      </w:pPr>
      <w:r>
        <w:rPr>
          <w:rFonts w:ascii="Times New Roman" w:hAnsi="Times New Roman" w:eastAsiaTheme="minorEastAsia"/>
          <w:sz w:val="24"/>
          <w:szCs w:val="24"/>
          <w:lang w:eastAsia="zh-CN"/>
        </w:rPr>
        <w:t>Changes in species distribution hotpots following a fire are shown in Figure 5, overall, the wildfire induced a profound spatial reorganization of terrestrial vertebrate richness across Los Angeles.</w:t>
      </w:r>
      <w:r>
        <w:rPr>
          <w:rFonts w:ascii="Times New Roman" w:hAnsi="Times New Roman"/>
        </w:rPr>
        <w:t xml:space="preserve"> </w:t>
      </w:r>
      <w:r>
        <w:rPr>
          <w:rFonts w:ascii="Times New Roman" w:hAnsi="Times New Roman" w:eastAsiaTheme="minorEastAsia"/>
          <w:sz w:val="24"/>
          <w:szCs w:val="24"/>
          <w:lang w:eastAsia="zh-CN"/>
        </w:rPr>
        <w:t>The spatial overlay analysis revealed that 56.1% of the study area experienced a decline in species richness (ΔHotpot &lt; 0). The most severe biodiversity loss was concentrated in the core zones of the Palisades fire, where the local species richness dropped by up to 41 species per pixel (accounting for 18.3% of the species we studied).</w:t>
      </w:r>
    </w:p>
    <w:p w14:paraId="4A91B4EB">
      <w:pPr>
        <w:pStyle w:val="33"/>
        <w:spacing w:line="240" w:lineRule="auto"/>
        <w:ind w:left="0" w:firstLine="0"/>
        <w:rPr>
          <w:rFonts w:ascii="Times New Roman" w:hAnsi="Times New Roman" w:eastAsiaTheme="minorEastAsia"/>
          <w:sz w:val="24"/>
          <w:szCs w:val="24"/>
          <w:lang w:eastAsia="zh-CN"/>
        </w:rPr>
      </w:pPr>
      <w:r>
        <w:rPr>
          <w:rFonts w:ascii="Times New Roman" w:hAnsi="Times New Roman" w:eastAsiaTheme="minorEastAsia"/>
          <w:sz w:val="24"/>
          <w:szCs w:val="24"/>
          <w:lang w:eastAsia="zh-CN"/>
        </w:rPr>
        <w:t xml:space="preserve">Distinct taxon-specific responses were observed among the three vertebrate classes. Among them, the most affected </w:t>
      </w:r>
      <w:r>
        <w:rPr>
          <w:rFonts w:hint="eastAsia" w:ascii="Times New Roman" w:hAnsi="Times New Roman" w:eastAsiaTheme="minorEastAsia"/>
          <w:sz w:val="24"/>
          <w:szCs w:val="24"/>
          <w:lang w:eastAsia="zh-CN"/>
        </w:rPr>
        <w:t>is</w:t>
      </w:r>
      <w:r>
        <w:rPr>
          <w:rFonts w:ascii="Times New Roman" w:hAnsi="Times New Roman" w:eastAsiaTheme="minorEastAsia"/>
          <w:sz w:val="24"/>
          <w:szCs w:val="24"/>
          <w:lang w:eastAsia="zh-CN"/>
        </w:rPr>
        <w:t xml:space="preserve"> amphibian, with about 70.96% of the study area experienced species’ decline, followed by reptile (65.17%) and then mammal (54.97%). Spatially, the areas which suffer the most severe decline are just the place where the wildfires occurred and the rise areas most concentrate on the mid-western of Los Angeles. However, while mammal richness decreased in the high-intensity burn cores, a marginal increase (+3 to +19 species) was detected in Hughes fire boundaries, also there are some increases detected when considering amphibian (+2 to +4 species).</w:t>
      </w:r>
    </w:p>
    <w:p w14:paraId="7CFA8AC0">
      <w:pPr>
        <w:pStyle w:val="33"/>
        <w:spacing w:line="240" w:lineRule="auto"/>
        <w:ind w:left="0" w:firstLine="0"/>
        <w:rPr>
          <w:rFonts w:ascii="Times New Roman" w:hAnsi="Times New Roman" w:eastAsiaTheme="minorEastAsia"/>
          <w:sz w:val="24"/>
          <w:szCs w:val="24"/>
          <w:lang w:eastAsia="zh-CN"/>
        </w:rPr>
      </w:pPr>
      <w:r>
        <w:rPr>
          <w:rFonts w:ascii="Times New Roman" w:hAnsi="Times New Roman" w:eastAsiaTheme="minorEastAsia"/>
          <w:sz w:val="24"/>
          <w:szCs w:val="24"/>
          <w:lang w:eastAsia="zh-CN"/>
        </w:rPr>
        <w:t>In addition, we find that areas that locate far away from the wildfire, also experienced some species’ decline, such as the south-eastern coastal area of Los Angeles.</w:t>
      </w:r>
    </w:p>
    <w:p w14:paraId="3720156A">
      <w:pPr>
        <w:pStyle w:val="33"/>
        <w:spacing w:line="240" w:lineRule="auto"/>
        <w:ind w:left="0" w:firstLine="0"/>
        <w:rPr>
          <w:rFonts w:ascii="Times New Roman" w:hAnsi="Times New Roman" w:eastAsiaTheme="minorEastAsia"/>
          <w:sz w:val="24"/>
          <w:szCs w:val="24"/>
          <w:lang w:eastAsia="zh-CN"/>
        </w:rPr>
      </w:pPr>
      <w:r>
        <w:rPr>
          <w:rFonts w:ascii="Times New Roman" w:hAnsi="Times New Roman" w:eastAsiaTheme="minorEastAsia"/>
          <w:sz w:val="24"/>
          <w:szCs w:val="24"/>
          <w:lang w:eastAsia="zh-CN"/>
        </w:rPr>
        <w:drawing>
          <wp:inline distT="0" distB="0" distL="0" distR="0">
            <wp:extent cx="6642100" cy="5143500"/>
            <wp:effectExtent l="0" t="0" r="6350" b="0"/>
            <wp:docPr id="17151981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98159" name="图片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6642100" cy="5143500"/>
                    </a:xfrm>
                    <a:prstGeom prst="rect">
                      <a:avLst/>
                    </a:prstGeom>
                    <a:noFill/>
                    <a:ln>
                      <a:noFill/>
                    </a:ln>
                  </pic:spPr>
                </pic:pic>
              </a:graphicData>
            </a:graphic>
          </wp:inline>
        </w:drawing>
      </w:r>
    </w:p>
    <w:p w14:paraId="6E2E8469">
      <w:pPr>
        <w:pStyle w:val="33"/>
        <w:spacing w:line="240" w:lineRule="auto"/>
        <w:ind w:left="0" w:firstLine="0"/>
        <w:jc w:val="center"/>
        <w:rPr>
          <w:rFonts w:ascii="Times New Roman" w:hAnsi="Times New Roman" w:eastAsiaTheme="minorEastAsia"/>
          <w:sz w:val="24"/>
          <w:szCs w:val="24"/>
          <w:lang w:eastAsia="zh-CN"/>
        </w:rPr>
      </w:pPr>
      <w:r>
        <w:rPr>
          <w:rFonts w:ascii="Times New Roman" w:hAnsi="Times New Roman" w:eastAsiaTheme="minorEastAsia"/>
          <w:sz w:val="24"/>
          <w:szCs w:val="24"/>
          <w:lang w:eastAsia="zh-CN"/>
        </w:rPr>
        <w:t>Figure 5. Post-wildfire changes in potential distribution hotpots for different species groups and all species we studied</w:t>
      </w:r>
    </w:p>
    <w:p w14:paraId="20D14AF5">
      <w:pPr>
        <w:pStyle w:val="48"/>
        <w:spacing w:before="240" w:line="240" w:lineRule="auto"/>
        <w:ind w:left="0"/>
        <w:rPr>
          <w:rFonts w:ascii="Times New Roman" w:hAnsi="Times New Roman" w:eastAsiaTheme="minorEastAsia"/>
          <w:i w:val="0"/>
          <w:iCs/>
          <w:sz w:val="24"/>
          <w:szCs w:val="24"/>
          <w:lang w:eastAsia="zh-CN"/>
        </w:rPr>
      </w:pPr>
      <w:r>
        <w:rPr>
          <w:rFonts w:ascii="Times New Roman" w:hAnsi="Times New Roman" w:eastAsiaTheme="minorEastAsia"/>
          <w:i w:val="0"/>
          <w:iCs/>
          <w:sz w:val="24"/>
          <w:szCs w:val="24"/>
          <w:lang w:eastAsia="zh-CN"/>
        </w:rPr>
        <w:t>3.3 Identification of Ecological Tipping Points and Spatial Heterogeneity of Wildfire Severity Impacts on Vertebrate Biodiversity Loss</w:t>
      </w:r>
    </w:p>
    <w:p w14:paraId="3BB7909F">
      <w:pPr>
        <w:pStyle w:val="33"/>
        <w:spacing w:line="240" w:lineRule="auto"/>
        <w:ind w:left="0" w:firstLine="0"/>
        <w:rPr>
          <w:rFonts w:ascii="Times New Roman" w:hAnsi="Times New Roman" w:eastAsiaTheme="minorEastAsia"/>
          <w:sz w:val="24"/>
          <w:szCs w:val="24"/>
          <w:lang w:eastAsia="zh-CN"/>
        </w:rPr>
      </w:pPr>
      <w:r>
        <w:rPr>
          <w:rFonts w:ascii="Times New Roman" w:hAnsi="Times New Roman" w:eastAsiaTheme="minorEastAsia"/>
          <w:sz w:val="24"/>
          <w:szCs w:val="24"/>
          <w:lang w:eastAsia="zh-CN"/>
        </w:rPr>
        <w:t xml:space="preserve">To further describe the relationship between fire intensity and changes in species distribution hotspots, we selected three major fire areas for quantitative analysis, Hughes, Palisades and Eaton, separately. </w:t>
      </w:r>
    </w:p>
    <w:p w14:paraId="5DA68158">
      <w:pPr>
        <w:pStyle w:val="33"/>
        <w:spacing w:line="240" w:lineRule="auto"/>
        <w:ind w:left="0" w:firstLine="0"/>
        <w:rPr>
          <w:rFonts w:ascii="Times New Roman" w:hAnsi="Times New Roman" w:eastAsiaTheme="minorEastAsia"/>
          <w:sz w:val="24"/>
          <w:szCs w:val="24"/>
          <w:lang w:eastAsia="zh-CN"/>
        </w:rPr>
      </w:pPr>
      <w:r>
        <w:rPr>
          <w:rFonts w:ascii="Times New Roman" w:hAnsi="Times New Roman" w:eastAsiaTheme="minorEastAsia"/>
          <w:sz w:val="24"/>
          <w:szCs w:val="24"/>
          <w:lang w:eastAsia="zh-CN"/>
        </w:rPr>
        <w:t>The Generalized Additive Models (GAMs) demonstrated pronounced non-linear relationships between wildfire burn severity (dNBR) and biodiversity change (ΔHotpot) across the three vertebrate taxa (Figure 6), with the ecological tipping points of each community exhibiting clear correspondences with specific fire severity levels. Specifically, the ecological tipping point for reptile was identified at dNBR = -0.06, falling within the Unburnt (-0.1 to 0.1) category. Below this threshold, reptile exhibited marked species gain (ΔHotpot &gt; 0), but as burn severity crossed this point into the Low (0.1 to 0.27), Moderate-low (0.27 to 0.44), Moderate-high (0.44 to 0.66), and High (&gt;0.66) levels, the biodiversity change rapidly dropped below zero, transitioning into species loss (ΔHotpot &lt; 0) and reaching the maximum value of species reduction at approximately dNBR = 0.80 within the High severity level.</w:t>
      </w:r>
    </w:p>
    <w:p w14:paraId="4CF828DD">
      <w:pPr>
        <w:pStyle w:val="33"/>
        <w:spacing w:line="240" w:lineRule="auto"/>
        <w:ind w:left="0" w:firstLine="0"/>
        <w:rPr>
          <w:rFonts w:ascii="Times New Roman" w:hAnsi="Times New Roman" w:eastAsiaTheme="minorEastAsia"/>
          <w:sz w:val="24"/>
          <w:szCs w:val="24"/>
          <w:lang w:eastAsia="zh-CN"/>
        </w:rPr>
      </w:pPr>
      <w:r>
        <w:rPr>
          <w:rFonts w:ascii="Times New Roman" w:hAnsi="Times New Roman" w:eastAsiaTheme="minorEastAsia"/>
          <w:sz w:val="24"/>
          <w:szCs w:val="24"/>
          <w:lang w:eastAsia="zh-CN"/>
        </w:rPr>
        <w:t xml:space="preserve">The ecological tipping points for amphibian and mammal were delayed to dNBR = 0.46, precisely corresponding to the Moderate-high (0.44 to 0.66) severity level. Among them, the estimated smoothing curve for amphibian remained entirely below the zero axis (ΔHotpot &lt; 0) across the entire monitored spectrum, showing that amphibian experienced species loss across all fire severity levels, with a change in loss rate occurring at the Moderate-high threshold and reaching its absolute maximum species reduction at approximately dNBR = 0.75 within the High severity level. Mammal consistently exhibited species gain (ΔHotpot &gt; 0) across the Unburnt, Low, and Moderate-low ranges, with peak gains recorded at the leftmost extreme and at a local high point within the Moderate-low interval, however, after crossing the Moderate-high threshold of 0.46, the curve entered the negative zone of species loss (ΔHotpot &lt; 0), peaking in species reduction at approximately dNBR = 0.80 within the High severity level. </w:t>
      </w:r>
    </w:p>
    <w:p w14:paraId="474F12A4">
      <w:pPr>
        <w:pStyle w:val="33"/>
        <w:spacing w:line="240" w:lineRule="auto"/>
        <w:ind w:left="0" w:firstLine="0"/>
        <w:rPr>
          <w:rFonts w:ascii="Times New Roman" w:hAnsi="Times New Roman" w:eastAsiaTheme="minorEastAsia"/>
          <w:sz w:val="24"/>
          <w:szCs w:val="24"/>
          <w:lang w:eastAsia="zh-CN"/>
        </w:rPr>
      </w:pPr>
      <w:r>
        <w:rPr>
          <w:rFonts w:ascii="Times New Roman" w:hAnsi="Times New Roman" w:eastAsiaTheme="minorEastAsia"/>
          <w:sz w:val="24"/>
          <w:szCs w:val="24"/>
          <w:lang w:eastAsia="zh-CN"/>
        </w:rPr>
        <w:t xml:space="preserve">In terms of response sensitivity, all three vertebrate taxa suffered severe species reduction under the High fire severity level. Reptile underwent the transition from species gain to species loss within the Unburnt level, displaying the highest sensitivity to the initial </w:t>
      </w:r>
      <w:r>
        <w:rPr>
          <w:rFonts w:hint="eastAsia" w:ascii="Times New Roman" w:hAnsi="Times New Roman" w:eastAsiaTheme="minorEastAsia"/>
          <w:sz w:val="24"/>
          <w:szCs w:val="24"/>
          <w:lang w:eastAsia="zh-CN"/>
        </w:rPr>
        <w:t>burn</w:t>
      </w:r>
      <w:r>
        <w:rPr>
          <w:rFonts w:ascii="Times New Roman" w:hAnsi="Times New Roman" w:eastAsiaTheme="minorEastAsia"/>
          <w:sz w:val="24"/>
          <w:szCs w:val="24"/>
          <w:lang w:eastAsia="zh-CN"/>
        </w:rPr>
        <w:t xml:space="preserve">. Conversely, mammal maintain species gains under low and moderate-low severities until triggering a structural threshold shift toward species loss at the Moderate-high level, while amphibian manifested a continuous negative response of species loss. </w:t>
      </w:r>
    </w:p>
    <w:p w14:paraId="4299F0CD">
      <w:pPr>
        <w:pStyle w:val="33"/>
        <w:spacing w:line="240" w:lineRule="auto"/>
        <w:ind w:left="0" w:firstLine="0"/>
        <w:rPr>
          <w:rFonts w:ascii="Times New Roman" w:hAnsi="Times New Roman" w:eastAsiaTheme="minorEastAsia"/>
          <w:sz w:val="24"/>
          <w:szCs w:val="24"/>
          <w:lang w:eastAsia="zh-CN"/>
        </w:rPr>
      </w:pPr>
      <w:bookmarkStart w:id="6" w:name="_GoBack"/>
      <w:r>
        <w:rPr>
          <w:rFonts w:ascii="Times New Roman" w:hAnsi="Times New Roman" w:eastAsiaTheme="minorEastAsia"/>
          <w:sz w:val="24"/>
          <w:szCs w:val="24"/>
          <w:lang w:eastAsia="zh-CN"/>
        </w:rPr>
        <w:drawing>
          <wp:inline distT="0" distB="0" distL="0" distR="0">
            <wp:extent cx="6640195" cy="4985385"/>
            <wp:effectExtent l="0" t="0" r="14605" b="18415"/>
            <wp:docPr id="16318329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32921" name="图片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6640195" cy="4985385"/>
                    </a:xfrm>
                    <a:prstGeom prst="rect">
                      <a:avLst/>
                    </a:prstGeom>
                    <a:noFill/>
                    <a:ln>
                      <a:noFill/>
                    </a:ln>
                  </pic:spPr>
                </pic:pic>
              </a:graphicData>
            </a:graphic>
          </wp:inline>
        </w:drawing>
      </w:r>
      <w:bookmarkEnd w:id="6"/>
    </w:p>
    <w:p w14:paraId="74FD61C0">
      <w:pPr>
        <w:pStyle w:val="33"/>
        <w:spacing w:line="240" w:lineRule="auto"/>
        <w:ind w:left="0" w:firstLine="0"/>
        <w:jc w:val="center"/>
        <w:rPr>
          <w:rFonts w:ascii="Times New Roman" w:hAnsi="Times New Roman" w:eastAsiaTheme="minorEastAsia"/>
          <w:sz w:val="24"/>
          <w:szCs w:val="24"/>
          <w:lang w:eastAsia="zh-CN"/>
        </w:rPr>
      </w:pPr>
      <w:r>
        <w:rPr>
          <w:rFonts w:ascii="Times New Roman" w:hAnsi="Times New Roman" w:eastAsiaTheme="minorEastAsia"/>
          <w:sz w:val="24"/>
          <w:szCs w:val="24"/>
          <w:lang w:eastAsia="zh-CN"/>
        </w:rPr>
        <w:t>Figure 6. Generalized Additive Model (GAM) smoothing curves and identified ecological tipping points of biodiversity change (ΔHotpot) in response to wildfire burn severity (dNBR) across three vertebrate taxa</w:t>
      </w:r>
      <w:r>
        <w:rPr>
          <w:rFonts w:hint="eastAsia" w:ascii="Times New Roman" w:hAnsi="Times New Roman" w:eastAsiaTheme="minorEastAsia"/>
          <w:sz w:val="24"/>
          <w:szCs w:val="24"/>
          <w:lang w:eastAsia="zh-CN"/>
        </w:rPr>
        <w:t>s</w:t>
      </w:r>
    </w:p>
    <w:p w14:paraId="1BBC3773">
      <w:pPr>
        <w:pStyle w:val="33"/>
        <w:spacing w:line="240" w:lineRule="auto"/>
        <w:ind w:left="0" w:firstLine="0"/>
        <w:rPr>
          <w:rFonts w:ascii="Times New Roman" w:hAnsi="Times New Roman" w:eastAsiaTheme="minorEastAsia"/>
          <w:sz w:val="24"/>
          <w:szCs w:val="24"/>
          <w:lang w:eastAsia="zh-CN"/>
        </w:rPr>
      </w:pPr>
      <w:r>
        <w:rPr>
          <w:rFonts w:ascii="Times New Roman" w:hAnsi="Times New Roman" w:eastAsiaTheme="minorEastAsia"/>
          <w:sz w:val="24"/>
          <w:szCs w:val="24"/>
          <w:lang w:eastAsia="zh-CN"/>
        </w:rPr>
        <w:t>After controlling for environmental covariates including elevation and slope, the Multiscale Geographically Weighted Regression (MGWR) model unveiled spatial heterogeneity in the response of vertebrate biodiversity change to wildfire burn severity (X = dNBR). The extracted local regression coefficients manifested variations in both operational direction and magnitude across different fire perimeters.</w:t>
      </w:r>
    </w:p>
    <w:p w14:paraId="337B72DF">
      <w:pPr>
        <w:pStyle w:val="33"/>
        <w:spacing w:line="240" w:lineRule="auto"/>
        <w:ind w:left="0" w:firstLine="0"/>
        <w:rPr>
          <w:rFonts w:ascii="Times New Roman" w:hAnsi="Times New Roman" w:eastAsiaTheme="minorEastAsia"/>
          <w:sz w:val="24"/>
          <w:szCs w:val="24"/>
          <w:lang w:eastAsia="zh-CN"/>
        </w:rPr>
      </w:pPr>
      <w:r>
        <w:rPr>
          <w:rFonts w:ascii="Times New Roman" w:hAnsi="Times New Roman" w:eastAsiaTheme="minorEastAsia"/>
          <w:sz w:val="24"/>
          <w:szCs w:val="24"/>
          <w:lang w:eastAsia="zh-CN"/>
        </w:rPr>
        <w:t xml:space="preserve">Within the perimeter of the Hughes fire (Figure 7.a), the impact of wildfire burn severity on vertebrate biodiversity change was found to be statistically non-significant throughout the entire spatial domain. Conversely, within the Eaton fire (Figure 7.c), the statistically significant local regression coefficients were predominantly governed by negative values. In light of the overarching baseline trend where the number of vertebrate species consistently declined across </w:t>
      </w:r>
      <w:r>
        <w:rPr>
          <w:rFonts w:hint="eastAsia" w:ascii="Times New Roman" w:hAnsi="Times New Roman" w:eastAsiaTheme="minorEastAsia"/>
          <w:sz w:val="24"/>
          <w:szCs w:val="24"/>
          <w:lang w:eastAsia="zh-CN"/>
        </w:rPr>
        <w:t>Eaton</w:t>
      </w:r>
      <w:r>
        <w:rPr>
          <w:rFonts w:ascii="Times New Roman" w:hAnsi="Times New Roman" w:eastAsiaTheme="minorEastAsia"/>
          <w:sz w:val="24"/>
          <w:szCs w:val="24"/>
          <w:lang w:eastAsia="zh-CN"/>
        </w:rPr>
        <w:t xml:space="preserve"> fire boundaries, these negative correlations demonstrate that higher wildfire burn severity further exacerbated the reduction in biodiversity within the Eaton fire.</w:t>
      </w:r>
    </w:p>
    <w:p w14:paraId="2AC573B7">
      <w:pPr>
        <w:pStyle w:val="33"/>
        <w:spacing w:line="240" w:lineRule="auto"/>
        <w:ind w:left="0" w:firstLine="0"/>
        <w:rPr>
          <w:rFonts w:ascii="Times New Roman" w:hAnsi="Times New Roman" w:eastAsiaTheme="minorEastAsia"/>
          <w:sz w:val="24"/>
          <w:szCs w:val="24"/>
          <w:lang w:eastAsia="zh-CN"/>
        </w:rPr>
      </w:pPr>
      <w:r>
        <w:rPr>
          <w:rFonts w:ascii="Times New Roman" w:hAnsi="Times New Roman" w:eastAsiaTheme="minorEastAsia"/>
          <w:sz w:val="24"/>
          <w:szCs w:val="24"/>
          <w:lang w:eastAsia="zh-CN"/>
        </w:rPr>
        <w:t xml:space="preserve">In stark contrast, within the coastal Palisades fire perimeter (Figure 7.b), </w:t>
      </w:r>
      <w:r>
        <w:rPr>
          <w:rFonts w:hint="eastAsia" w:ascii="Times New Roman" w:hAnsi="Times New Roman" w:eastAsiaTheme="minorEastAsia"/>
          <w:sz w:val="24"/>
          <w:szCs w:val="24"/>
          <w:lang w:eastAsia="zh-CN"/>
        </w:rPr>
        <w:t>a</w:t>
      </w:r>
      <w:r>
        <w:rPr>
          <w:rFonts w:ascii="Times New Roman" w:hAnsi="Times New Roman" w:eastAsiaTheme="minorEastAsia"/>
          <w:sz w:val="24"/>
          <w:szCs w:val="24"/>
          <w:lang w:eastAsia="zh-CN"/>
        </w:rPr>
        <w:t xml:space="preserve">long its southern boundary, a conspicuous cluster of "Positively high" coefficients (red patches) emerged. This positive relationship indicates that within this specific localized patch, an increase in burn severity corresponded to an increase in biodiversity. However, the northern and eastern sectors of the Palisades fire perimeter were concurrently occupied by statistically significant clusters of "Negatively high" coefficients (green patches), indicating that higher burn severity in these particular geographic directions similarly resulted in a further degradation of biodiversity. </w:t>
      </w:r>
    </w:p>
    <w:p w14:paraId="66DB02D0">
      <w:pPr>
        <w:pStyle w:val="33"/>
        <w:spacing w:line="240" w:lineRule="auto"/>
        <w:ind w:left="0" w:firstLine="0"/>
        <w:rPr>
          <w:rFonts w:ascii="Times New Roman" w:hAnsi="Times New Roman" w:eastAsiaTheme="minorEastAsia"/>
          <w:sz w:val="24"/>
          <w:szCs w:val="24"/>
          <w:lang w:eastAsia="zh-CN"/>
        </w:rPr>
      </w:pPr>
      <w:r>
        <w:rPr>
          <w:rFonts w:ascii="Times New Roman" w:hAnsi="Times New Roman" w:eastAsiaTheme="minorEastAsia"/>
          <w:sz w:val="24"/>
          <w:szCs w:val="24"/>
          <w:lang w:eastAsia="zh-CN"/>
        </w:rPr>
        <w:drawing>
          <wp:inline distT="0" distB="0" distL="0" distR="0">
            <wp:extent cx="6639560" cy="4692015"/>
            <wp:effectExtent l="0" t="0" r="8890" b="0"/>
            <wp:docPr id="98731080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10808" name="图片 2"/>
                    <pic:cNvPicPr>
                      <a:picLocks noChangeAspect="1" noChangeArrowheads="1"/>
                    </pic:cNvPicPr>
                  </pic:nvPicPr>
                  <pic:blipFill>
                    <a:blip r:embed="rId17"/>
                    <a:stretch>
                      <a:fillRect/>
                    </a:stretch>
                  </pic:blipFill>
                  <pic:spPr>
                    <a:xfrm>
                      <a:off x="0" y="0"/>
                      <a:ext cx="6639722" cy="4692015"/>
                    </a:xfrm>
                    <a:prstGeom prst="rect">
                      <a:avLst/>
                    </a:prstGeom>
                    <a:noFill/>
                    <a:ln>
                      <a:noFill/>
                    </a:ln>
                  </pic:spPr>
                </pic:pic>
              </a:graphicData>
            </a:graphic>
          </wp:inline>
        </w:drawing>
      </w:r>
    </w:p>
    <w:p w14:paraId="23F6037E">
      <w:pPr>
        <w:pStyle w:val="33"/>
        <w:spacing w:line="240" w:lineRule="auto"/>
        <w:ind w:left="0" w:firstLine="0"/>
        <w:jc w:val="center"/>
        <w:rPr>
          <w:rFonts w:ascii="Times New Roman" w:hAnsi="Times New Roman" w:eastAsiaTheme="minorEastAsia"/>
          <w:sz w:val="24"/>
          <w:szCs w:val="24"/>
          <w:lang w:eastAsia="zh-CN"/>
        </w:rPr>
      </w:pPr>
      <w:r>
        <w:rPr>
          <w:rFonts w:ascii="Times New Roman" w:hAnsi="Times New Roman" w:eastAsiaTheme="minorEastAsia"/>
          <w:sz w:val="24"/>
          <w:szCs w:val="24"/>
          <w:lang w:eastAsia="zh-CN"/>
        </w:rPr>
        <w:t>Figure 7. Spatial distribution of Multiscale Geographically Weighted Regression (MGWR) local coefficients representing the impacts of wildfire burn severity (dNBR) on vertebrate biodiversity change across three fire perimeters (a: Hughes; b: Palisades; c: Eaton).</w:t>
      </w:r>
    </w:p>
    <w:p w14:paraId="76D24A4B">
      <w:pPr>
        <w:pStyle w:val="47"/>
        <w:spacing w:line="240" w:lineRule="auto"/>
        <w:ind w:left="0"/>
        <w:rPr>
          <w:rFonts w:ascii="Times New Roman" w:hAnsi="Times New Roman"/>
          <w:szCs w:val="24"/>
        </w:rPr>
      </w:pPr>
      <w:r>
        <w:rPr>
          <w:rFonts w:ascii="Times New Roman" w:hAnsi="Times New Roman"/>
          <w:szCs w:val="24"/>
        </w:rPr>
        <w:t>4. Discussion</w:t>
      </w:r>
    </w:p>
    <w:p w14:paraId="409D62D1">
      <w:pPr>
        <w:pStyle w:val="48"/>
        <w:spacing w:before="240" w:line="240" w:lineRule="auto"/>
        <w:ind w:left="0"/>
        <w:rPr>
          <w:rFonts w:ascii="Times New Roman" w:hAnsi="Times New Roman" w:eastAsiaTheme="minorEastAsia"/>
          <w:i w:val="0"/>
          <w:iCs/>
          <w:sz w:val="24"/>
          <w:szCs w:val="24"/>
          <w:lang w:eastAsia="zh-CN"/>
        </w:rPr>
      </w:pPr>
      <w:bookmarkStart w:id="4" w:name="_Hlk228978444"/>
      <w:r>
        <w:rPr>
          <w:rFonts w:ascii="Times New Roman" w:hAnsi="Times New Roman" w:eastAsiaTheme="minorEastAsia"/>
          <w:i w:val="0"/>
          <w:iCs/>
          <w:sz w:val="24"/>
          <w:szCs w:val="24"/>
          <w:lang w:eastAsia="zh-CN"/>
        </w:rPr>
        <w:t>4.1</w:t>
      </w:r>
      <w:r>
        <w:rPr>
          <w:rFonts w:ascii="Times New Roman" w:hAnsi="Times New Roman"/>
          <w:i w:val="0"/>
          <w:iCs/>
          <w:sz w:val="24"/>
          <w:szCs w:val="24"/>
        </w:rPr>
        <w:t xml:space="preserve"> </w:t>
      </w:r>
      <w:r>
        <w:rPr>
          <w:rFonts w:ascii="Times New Roman" w:hAnsi="Times New Roman" w:eastAsiaTheme="minorEastAsia"/>
          <w:i w:val="0"/>
          <w:iCs/>
          <w:sz w:val="24"/>
          <w:szCs w:val="24"/>
          <w:lang w:eastAsia="zh-CN"/>
        </w:rPr>
        <w:t>Results of fire intensity and extent analysis</w:t>
      </w:r>
    </w:p>
    <w:p w14:paraId="1CCC221B">
      <w:pPr>
        <w:pStyle w:val="33"/>
        <w:spacing w:line="240" w:lineRule="auto"/>
        <w:ind w:left="0" w:firstLine="0"/>
        <w:rPr>
          <w:rFonts w:ascii="Times New Roman" w:hAnsi="Times New Roman" w:eastAsiaTheme="minorEastAsia"/>
          <w:sz w:val="24"/>
          <w:szCs w:val="24"/>
          <w:lang w:eastAsia="zh-CN"/>
        </w:rPr>
      </w:pPr>
      <w:r>
        <w:rPr>
          <w:rFonts w:ascii="Times New Roman" w:hAnsi="Times New Roman" w:eastAsiaTheme="minorEastAsia"/>
          <w:sz w:val="24"/>
          <w:szCs w:val="24"/>
          <w:lang w:eastAsia="zh-CN"/>
        </w:rPr>
        <w:t xml:space="preserve">The overall burned area is concentrated in the midwestern and coastal mountainous regions, while the northern and inland areas contain only sparse, small-scale fire occurrences, which may closely tied to regional topography, fuel continuity, and wind regimes </w:t>
      </w:r>
      <w:r>
        <w:rPr>
          <w:rFonts w:ascii="Times New Roman" w:hAnsi="Times New Roman" w:eastAsiaTheme="minorEastAsia"/>
          <w:sz w:val="24"/>
          <w:szCs w:val="24"/>
          <w:lang w:eastAsia="zh-CN"/>
        </w:rPr>
        <w:fldChar w:fldCharType="begin"/>
      </w:r>
      <w:r>
        <w:rPr>
          <w:rFonts w:ascii="Times New Roman" w:hAnsi="Times New Roman" w:eastAsiaTheme="minorEastAsia"/>
          <w:sz w:val="24"/>
          <w:szCs w:val="24"/>
          <w:lang w:eastAsia="zh-CN"/>
        </w:rPr>
        <w:instrText xml:space="preserve"> ADDIN ZOTERO_ITEM CSL_CITATION {"citationID":"UKAfSPaF","properties":{"formattedCitation":"(Keeley et al., 2009)","plainCitation":"(Keeley et al., 2009)","noteIndex":0},"citationItems":[{"id":304,"uris":["http://zotero.org/users/17543282/items/ZX87JZ78"],"itemData":{"id":304,"type":"article-journal","abstract":"The 2007 wildfire season in southern California burned over 1,000,000 ac (</w:instrText>
      </w:r>
      <w:r>
        <w:rPr>
          <w:rFonts w:ascii="Cambria Math" w:hAnsi="Cambria Math" w:cs="Cambria Math" w:eastAsiaTheme="minorEastAsia"/>
          <w:sz w:val="24"/>
          <w:szCs w:val="24"/>
          <w:lang w:eastAsia="zh-CN"/>
        </w:rPr>
        <w:instrText xml:space="preserve">∼</w:instrText>
      </w:r>
      <w:r>
        <w:rPr>
          <w:rFonts w:ascii="Times New Roman" w:hAnsi="Times New Roman" w:eastAsiaTheme="minorEastAsia"/>
          <w:sz w:val="24"/>
          <w:szCs w:val="24"/>
          <w:lang w:eastAsia="zh-CN"/>
        </w:rPr>
        <w:instrText xml:space="preserve">400,000 ha) and included several megafires. We use the 2007 fires as a case study to draw three major lessons about wildfires and wildfire complexity in southern California. First, the great majority of large fires in southern California occur in the autumn under the influence of Santa Ana windstorms. These fires also cost the most to contain and cause the most damage to life and property, and the October 2007 fires were no exception because thousands of homes were lost and seven people were killed. Being pushed by wind gusts over 100 kph, young fuels presented little barrier to their spread as the 2007 fires reburned considerable portions of the area burned in the historic 2003 fire season. Adding to the size of these fires was the historic 2006-2007 drought that contributed to high dead fuel loads and long distance spotting. As in 2003, young chaparral stands and fuel treatments were not reliable barriers to fire in October 2007. Second, the Zaca Fire in July and August 2007 showed that other factors besides high winds can sometimes combine to create conditions for large fires in southern California. Spring and summer fires in southern California chaparral are usually easily contained because of higher fuel moisture and the general lack of high winds. However, the Zaca Fire burned in a remote wilderness area of rugged terrain that made access difficult. In addition, because of its remoteness, anthropogenic ignitions have been low and stand age and fuel loads were high. Coupled with this was severe drought that year that generated fuel moisture levels considerably below normal for early summer. A third lesson comes from 2007 conifer forest fires in the southern California mountains. In contrast to lower elevation chaparral, fire suppression has led to major increases in conifer forest fuels that can lead to unnaturally severe fires when ignitions escape control. The Slide and Grass Valley Fires of October 2007 occurred in forests that had been subject to extensive fuel treatment, but fire control was complicated by a patchwork of untreated private properties and mountain homes built of highly flammable materials. In a fashion reminiscent of other recent destructive conifer fires in California, burning homes themselves were a major source of fire spread. These lessons suggest that the most important advances in fire safety in this region are to come from advances in fire prevention, fire preparedness, and land-use planning that includes fire hazard patterns.","container-title":"Journal of Forestry","DOI":"10.1093/jof/107.6.287","journalAbbreviation":"Journal of Forestry","page":"287-296","source":"ResearchGate","title":"The 2007 Southern California Wildfires: Lessons in Complexity","title-short":"The 2007 Southern California Wildfires","volume":"107","author":[{"family":"Keeley","given":"Jon"},{"family":"Safford","given":"Hugh"},{"family":"Fotheringham","given":"Cj"},{"family":"Franklin","given":"Janet"},{"family":"Moritz","given":"Max"}],"issued":{"date-parts":[["2009",9,1]]}}}],"schema":"https://github.com/citation-style-language/schema/raw/master/csl-citation.json"} </w:instrText>
      </w:r>
      <w:r>
        <w:rPr>
          <w:rFonts w:ascii="Times New Roman" w:hAnsi="Times New Roman" w:eastAsiaTheme="minorEastAsia"/>
          <w:sz w:val="24"/>
          <w:szCs w:val="24"/>
          <w:lang w:eastAsia="zh-CN"/>
        </w:rPr>
        <w:fldChar w:fldCharType="separate"/>
      </w:r>
      <w:r>
        <w:rPr>
          <w:rFonts w:ascii="Times New Roman" w:hAnsi="Times New Roman" w:eastAsiaTheme="minorEastAsia"/>
          <w:sz w:val="24"/>
        </w:rPr>
        <w:t>(Keeley et al., 2009)</w:t>
      </w:r>
      <w:r>
        <w:rPr>
          <w:rFonts w:ascii="Times New Roman" w:hAnsi="Times New Roman" w:eastAsiaTheme="minorEastAsia"/>
          <w:sz w:val="24"/>
          <w:szCs w:val="24"/>
          <w:lang w:eastAsia="zh-CN"/>
        </w:rPr>
        <w:fldChar w:fldCharType="end"/>
      </w:r>
      <w:r>
        <w:rPr>
          <w:rFonts w:ascii="Times New Roman" w:hAnsi="Times New Roman" w:eastAsiaTheme="minorEastAsia"/>
          <w:sz w:val="24"/>
          <w:szCs w:val="24"/>
          <w:lang w:eastAsia="zh-CN"/>
        </w:rPr>
        <w:t>, Critically, the use of 10 m resolution sentinel-2 imagery</w:t>
      </w:r>
      <w:r>
        <w:rPr>
          <w:rFonts w:ascii="Times New Roman" w:hAnsi="Times New Roman" w:eastAsiaTheme="minorEastAsia"/>
          <w:sz w:val="24"/>
          <w:szCs w:val="24"/>
          <w:lang w:eastAsia="zh-CN"/>
        </w:rPr>
        <w:fldChar w:fldCharType="begin"/>
      </w:r>
      <w:r>
        <w:rPr>
          <w:rFonts w:ascii="Times New Roman" w:hAnsi="Times New Roman" w:eastAsiaTheme="minorEastAsia"/>
          <w:sz w:val="24"/>
          <w:szCs w:val="24"/>
          <w:lang w:eastAsia="zh-CN"/>
        </w:rPr>
        <w:instrText xml:space="preserve"> ADDIN ZOTERO_ITEM CSL_CITATION {"citationID":"ioz80lDw","properties":{"formattedCitation":"(Howe et al., 2022)","plainCitation":"(Howe et al., 2022)","noteIndex":0},"citationItems":[{"id":413,"uris":["http://zotero.org/users/17543282/items/96RJJDRY"],"itemData":{"id":413,"type":"article-journal","abstract":"Accurate assessment of burn severity is a critical need for an improved understanding of fire behavior and ecology and effective post-fire management. Although NASA Landsat satellites have a long history of use for remotely sensed mapping of burn severity, the recently launched (2015 and 2017) European Space Agency Sentinel-2 satellite constellation offers increased temporal and spatial resolution with global coverage, combined with free data access. Evaluations of burn severity derived from Landsat and Sentinel generally show comparable results, but these studies only assessed a small number of fires with limited field data. We used 912 ground calibration plots from 26 fires that burned between 2016 and 2019 in western North America to compare Sentinel- and Landsat-derived burn severity estimates with the field-based composite burn index. We mapped burn severity using two methods; the well-established paired scene approach, in which a single pre- and post-fire scene are selected for each fire, and also a mean image compositing approach that automatically integrates multiple scenes using the cloud-based remote sensing platform Google Earth Engine. We found that Sentinel generally performed as well or better than Landsat for four spectral indices of burn severity, particularly when using atmospherically corrected Sentinel imagery. Additionally, we tested the effects of mapping burn severity at Sentinel’s finer spatial resolution (10 m) on estimates of the spatial complexity of stand-replacing fire, resulting in a 5% average reduction per-fire in area mapped as high-severity patch interiors (24,273 ha total) compared to mapping at the resolution of Landsat (30 m). These findings suggest Sentinel may improve ecological discrimination of fine-scale fire effects, but also warrant caution when comparing estimates of burn severity spatial patterns derived at different resolutions. Overall, these results indicate that burn severity mapping will benefit substantially from the integration of Sentinel imagery through increased imagery availability, and that Sentinel’s higher spatial resolution improves opportunities for examining finer-scale fire effects across ecosystems.","container-title":"Remote Sensing","DOI":"10.3390/rs14205249","ISSN":"2072-4292","issue":"20","language":"en","license":"http://creativecommons.org/licenses/by/3.0/","page":"5249","publisher":"Multidisciplinary Digital Publishing Institute","source":"www.mdpi.com","title":"Comparing Sentinel-2 and Landsat 8 for Burn Severity Mapping in Western North America","volume":"14","author":[{"family":"Howe","given":"Alexander A."},{"family":"Parks","given":"Sean A."},{"family":"Harvey","given":"Brian J."},{"family":"Saberi","given":"Saba J."},{"family":"Lutz","given":"James A."},{"family":"Yocom","given":"Larissa L."}],"issued":{"date-parts":[["2022",1]]}}}],"schema":"https://github.com/citation-style-language/schema/raw/master/csl-citation.json"} </w:instrText>
      </w:r>
      <w:r>
        <w:rPr>
          <w:rFonts w:ascii="Times New Roman" w:hAnsi="Times New Roman" w:eastAsiaTheme="minorEastAsia"/>
          <w:sz w:val="24"/>
          <w:szCs w:val="24"/>
          <w:lang w:eastAsia="zh-CN"/>
        </w:rPr>
        <w:fldChar w:fldCharType="separate"/>
      </w:r>
      <w:r>
        <w:rPr>
          <w:rFonts w:ascii="Times New Roman" w:hAnsi="Times New Roman" w:eastAsiaTheme="minorEastAsia"/>
          <w:sz w:val="24"/>
        </w:rPr>
        <w:t>(Howe et al., 2022)</w:t>
      </w:r>
      <w:r>
        <w:rPr>
          <w:rFonts w:ascii="Times New Roman" w:hAnsi="Times New Roman" w:eastAsiaTheme="minorEastAsia"/>
          <w:sz w:val="24"/>
          <w:szCs w:val="24"/>
          <w:lang w:eastAsia="zh-CN"/>
        </w:rPr>
        <w:fldChar w:fldCharType="end"/>
      </w:r>
      <w:r>
        <w:rPr>
          <w:rFonts w:ascii="Times New Roman" w:hAnsi="Times New Roman" w:eastAsiaTheme="minorEastAsia"/>
          <w:sz w:val="24"/>
          <w:szCs w:val="24"/>
          <w:lang w:eastAsia="zh-CN"/>
        </w:rPr>
        <w:t xml:space="preserve"> combined with a U-Net architecture that inherently aggregates neighborhood context allows our product to simultaneously capture fine-scale spatial details that are entirely absent in coarser-resolution fire products.</w:t>
      </w:r>
      <w:r>
        <w:rPr>
          <w:rFonts w:ascii="Times New Roman" w:hAnsi="Times New Roman"/>
          <w:sz w:val="24"/>
          <w:szCs w:val="24"/>
        </w:rPr>
        <w:t xml:space="preserve"> </w:t>
      </w:r>
      <w:r>
        <w:rPr>
          <w:rFonts w:ascii="Times New Roman" w:hAnsi="Times New Roman" w:eastAsiaTheme="minorEastAsia"/>
          <w:sz w:val="24"/>
          <w:szCs w:val="24"/>
          <w:lang w:eastAsia="zh-CN"/>
        </w:rPr>
        <w:t>By successfully resolving the three major fire events, we identified a total burned area of 213.52 km² (compared to 202</w:t>
      </w:r>
      <w:r>
        <w:rPr>
          <w:rFonts w:ascii="Times New Roman" w:hAnsi="Times New Roman"/>
          <w:sz w:val="24"/>
          <w:szCs w:val="24"/>
        </w:rPr>
        <w:t xml:space="preserve"> </w:t>
      </w:r>
      <w:r>
        <w:rPr>
          <w:rFonts w:ascii="Times New Roman" w:hAnsi="Times New Roman" w:eastAsiaTheme="minorEastAsia"/>
          <w:sz w:val="24"/>
          <w:szCs w:val="24"/>
          <w:lang w:eastAsia="zh-CN"/>
        </w:rPr>
        <w:t>km² as reported</w:t>
      </w:r>
      <w:r>
        <w:rPr>
          <w:rFonts w:ascii="Times New Roman" w:hAnsi="Times New Roman" w:eastAsiaTheme="minorEastAsia"/>
          <w:sz w:val="24"/>
          <w:szCs w:val="24"/>
          <w:lang w:eastAsia="zh-CN"/>
        </w:rPr>
        <w:fldChar w:fldCharType="begin"/>
      </w:r>
      <w:r>
        <w:rPr>
          <w:rFonts w:ascii="Times New Roman" w:hAnsi="Times New Roman" w:eastAsiaTheme="minorEastAsia"/>
          <w:sz w:val="24"/>
          <w:szCs w:val="24"/>
          <w:lang w:eastAsia="zh-CN"/>
        </w:rPr>
        <w:instrText xml:space="preserve"> ADDIN ZOTERO_ITEM CSL_CITATION {"citationID":"4c7bQxr0","properties":{"unsorted":false,"formattedCitation":"(Britannica, 2026)","plainCitation":"(Britannica, 2026)","noteIndex":0},"citationItems":[{"id":435,"uris":["http://zotero.org/users/17543282/items/ZABR4BZ9"],"itemData":{"id":435,"type":"webpage","abstract":"The Los Angeles wildfires of 2025 were a series of wildfires that burned parts of the Los Angeles basin and suburban Los Angeles in January 2025. The episode was marked by the emergence of two major conflagrations: the Palisades Fire and the Eaton Fire.","language":"en","title":"Los Angeles wildfires of 2025 | Deaths, Damage, &amp; Facts | Britannica","URL":"https://www.britannica.com/event/Los-Angeles-wildfires-of-2025","author":[{"literal":"Britannica"}],"accessed":{"date-parts":[["2026",5,25]]},"issued":{"date-parts":[["2026",5,7]]}}}],"schema":"https://github.com/citation-style-language/schema/raw/master/csl-citation.json"} </w:instrText>
      </w:r>
      <w:r>
        <w:rPr>
          <w:rFonts w:ascii="Times New Roman" w:hAnsi="Times New Roman" w:eastAsiaTheme="minorEastAsia"/>
          <w:sz w:val="24"/>
          <w:szCs w:val="24"/>
          <w:lang w:eastAsia="zh-CN"/>
        </w:rPr>
        <w:fldChar w:fldCharType="separate"/>
      </w:r>
      <w:r>
        <w:rPr>
          <w:rFonts w:ascii="Times New Roman" w:hAnsi="Times New Roman" w:eastAsiaTheme="minorEastAsia"/>
          <w:sz w:val="24"/>
        </w:rPr>
        <w:t>(Britannica, 2026)</w:t>
      </w:r>
      <w:r>
        <w:rPr>
          <w:rFonts w:ascii="Times New Roman" w:hAnsi="Times New Roman" w:eastAsiaTheme="minorEastAsia"/>
          <w:sz w:val="24"/>
          <w:szCs w:val="24"/>
          <w:lang w:eastAsia="zh-CN"/>
        </w:rPr>
        <w:fldChar w:fldCharType="end"/>
      </w:r>
      <w:r>
        <w:rPr>
          <w:rFonts w:ascii="Times New Roman" w:hAnsi="Times New Roman" w:eastAsiaTheme="minorEastAsia"/>
          <w:sz w:val="24"/>
          <w:szCs w:val="24"/>
          <w:lang w:eastAsia="zh-CN"/>
        </w:rPr>
        <w:t>), and by identifying fine‑scale spatial structures, this study demonstrates that deep learning‑based high‑resolution remote sensing can fundamentally improve the accuracy of fire extent delineation.</w:t>
      </w:r>
    </w:p>
    <w:p w14:paraId="39D15BD4">
      <w:pPr>
        <w:pStyle w:val="33"/>
        <w:spacing w:line="240" w:lineRule="auto"/>
        <w:ind w:left="0" w:firstLine="0"/>
        <w:rPr>
          <w:rFonts w:ascii="Times New Roman" w:hAnsi="Times New Roman" w:eastAsiaTheme="minorEastAsia"/>
          <w:sz w:val="24"/>
          <w:szCs w:val="24"/>
          <w:lang w:eastAsia="zh-CN"/>
        </w:rPr>
      </w:pPr>
      <w:r>
        <w:rPr>
          <w:rFonts w:ascii="Times New Roman" w:hAnsi="Times New Roman" w:eastAsiaTheme="minorEastAsia"/>
          <w:sz w:val="24"/>
          <w:szCs w:val="24"/>
          <w:lang w:eastAsia="zh-CN"/>
        </w:rPr>
        <w:t>Regarding the spatial distribution of fire intensity, dNBR-based assessments reveal strong spatial non-stationarity. The Palisades fire was extremely destructive, with high-intensity burned areas accounting for as much as 45.58%, followed by the Eaton fire (27.35%)</w:t>
      </w:r>
      <w:r>
        <w:rPr>
          <w:rFonts w:hint="eastAsia" w:ascii="Times New Roman" w:hAnsi="Times New Roman" w:eastAsiaTheme="minorEastAsia"/>
          <w:sz w:val="24"/>
          <w:szCs w:val="24"/>
          <w:lang w:eastAsia="zh-CN"/>
        </w:rPr>
        <w:t>, c</w:t>
      </w:r>
      <w:r>
        <w:rPr>
          <w:rFonts w:ascii="Times New Roman" w:hAnsi="Times New Roman" w:eastAsiaTheme="minorEastAsia"/>
          <w:sz w:val="24"/>
          <w:szCs w:val="24"/>
          <w:lang w:eastAsia="zh-CN"/>
        </w:rPr>
        <w:t>onsistent with the relevant reports</w:t>
      </w:r>
      <w:r>
        <w:rPr>
          <w:rFonts w:ascii="Times New Roman" w:hAnsi="Times New Roman" w:eastAsiaTheme="minorEastAsia"/>
          <w:sz w:val="24"/>
          <w:szCs w:val="24"/>
          <w:lang w:eastAsia="zh-CN"/>
        </w:rPr>
        <w:fldChar w:fldCharType="begin"/>
      </w:r>
      <w:r>
        <w:rPr>
          <w:rFonts w:hint="eastAsia" w:ascii="Times New Roman" w:hAnsi="Times New Roman" w:eastAsiaTheme="minorEastAsia"/>
          <w:sz w:val="24"/>
          <w:szCs w:val="24"/>
          <w:lang w:eastAsia="zh-CN"/>
        </w:rPr>
        <w:instrText xml:space="preserve"> ADDIN ZOTERO_ITEM CSL_CITATION {"citationID":"9mXIvl1D","properties":{"unsorted":false,"formattedCitation":"(Insurance Institute for Business \\uc0\\u65286{} Home Safety, 2025)","plainCitation":"(Insurance Institute for Business ＆ Home Safety, 2025)","no</w:instrText>
      </w:r>
      <w:r>
        <w:rPr>
          <w:rFonts w:ascii="Times New Roman" w:hAnsi="Times New Roman" w:eastAsiaTheme="minorEastAsia"/>
          <w:sz w:val="24"/>
          <w:szCs w:val="24"/>
          <w:lang w:eastAsia="zh-CN"/>
        </w:rPr>
        <w:instrText xml:space="preserve">teIndex":0},"citationItems":[{"id":288,"uris":["http://zotero.org/users/17543282/items/8SFPIRLU"],"itemData":{"id":288,"type":"webpage","publisher":"CTIF","title":"2025 LA County Wildfires: Early Insights from Field Observations","URL":"https://www.ctif.o</w:instrText>
      </w:r>
      <w:r>
        <w:rPr>
          <w:rFonts w:hint="eastAsia" w:ascii="Times New Roman" w:hAnsi="Times New Roman" w:eastAsiaTheme="minorEastAsia"/>
          <w:sz w:val="24"/>
          <w:szCs w:val="24"/>
          <w:lang w:eastAsia="zh-CN"/>
        </w:rPr>
        <w:instrText xml:space="preserve">rg/zh-hans/news/2025-nianluoshanjiyehuodezaoqidongchabaogao","author":[{"literal":"Insurance Institute for Business ＆ Home Safety"}],"accessed":{"date-parts":[["2026",3,12]]},"issued":{"date-parts":[["2025",4,23]]}}}],"schema":"https://github.com/citation</w:instrText>
      </w:r>
      <w:r>
        <w:rPr>
          <w:rFonts w:ascii="Times New Roman" w:hAnsi="Times New Roman" w:eastAsiaTheme="minorEastAsia"/>
          <w:sz w:val="24"/>
          <w:szCs w:val="24"/>
          <w:lang w:eastAsia="zh-CN"/>
        </w:rPr>
        <w:instrText xml:space="preserve">-style-language/schema/raw/master/csl-citation.json"} </w:instrText>
      </w:r>
      <w:r>
        <w:rPr>
          <w:rFonts w:ascii="Times New Roman" w:hAnsi="Times New Roman" w:eastAsiaTheme="minorEastAsia"/>
          <w:sz w:val="24"/>
          <w:szCs w:val="24"/>
          <w:lang w:eastAsia="zh-CN"/>
        </w:rPr>
        <w:fldChar w:fldCharType="separate"/>
      </w:r>
      <w:r>
        <w:rPr>
          <w:rFonts w:ascii="Times New Roman" w:hAnsi="Times New Roman"/>
          <w:sz w:val="24"/>
        </w:rPr>
        <w:t>(Insurance Institute for Business ＆ Home Safety, 2025)</w:t>
      </w:r>
      <w:r>
        <w:rPr>
          <w:rFonts w:ascii="Times New Roman" w:hAnsi="Times New Roman" w:eastAsiaTheme="minorEastAsia"/>
          <w:sz w:val="24"/>
          <w:szCs w:val="24"/>
          <w:lang w:eastAsia="zh-CN"/>
        </w:rPr>
        <w:fldChar w:fldCharType="end"/>
      </w:r>
      <w:r>
        <w:rPr>
          <w:rFonts w:ascii="Times New Roman" w:hAnsi="Times New Roman" w:eastAsiaTheme="minorEastAsia"/>
          <w:sz w:val="24"/>
          <w:szCs w:val="24"/>
          <w:lang w:eastAsia="zh-CN"/>
        </w:rPr>
        <w:t>.</w:t>
      </w:r>
      <w:r>
        <w:rPr>
          <w:rFonts w:hint="eastAsia" w:ascii="Times New Roman" w:hAnsi="Times New Roman" w:eastAsiaTheme="minorEastAsia"/>
          <w:sz w:val="24"/>
          <w:szCs w:val="24"/>
          <w:lang w:eastAsia="zh-CN"/>
        </w:rPr>
        <w:t xml:space="preserve"> </w:t>
      </w:r>
    </w:p>
    <w:bookmarkEnd w:id="4"/>
    <w:p w14:paraId="33E7FA86">
      <w:pPr>
        <w:pStyle w:val="48"/>
        <w:spacing w:before="240" w:line="240" w:lineRule="auto"/>
        <w:ind w:left="0"/>
        <w:rPr>
          <w:rFonts w:ascii="Times New Roman" w:hAnsi="Times New Roman" w:eastAsiaTheme="minorEastAsia"/>
          <w:i w:val="0"/>
          <w:iCs/>
          <w:sz w:val="24"/>
          <w:szCs w:val="24"/>
          <w:lang w:eastAsia="zh-CN"/>
        </w:rPr>
      </w:pPr>
      <w:r>
        <w:rPr>
          <w:rFonts w:ascii="Times New Roman" w:hAnsi="Times New Roman" w:eastAsiaTheme="minorEastAsia"/>
          <w:i w:val="0"/>
          <w:iCs/>
          <w:sz w:val="24"/>
          <w:szCs w:val="24"/>
          <w:lang w:eastAsia="zh-CN"/>
        </w:rPr>
        <w:t>4.2 Reaction Heterogeneity Among Different Taxa under Fire</w:t>
      </w:r>
    </w:p>
    <w:p w14:paraId="6EF1947B">
      <w:pPr>
        <w:spacing w:line="240" w:lineRule="auto"/>
        <w:rPr>
          <w:rFonts w:ascii="Times New Roman" w:hAnsi="Times New Roman"/>
          <w:sz w:val="24"/>
          <w:szCs w:val="24"/>
        </w:rPr>
      </w:pPr>
      <w:r>
        <w:rPr>
          <w:rFonts w:ascii="Times New Roman" w:hAnsi="Times New Roman"/>
          <w:sz w:val="24"/>
          <w:szCs w:val="24"/>
        </w:rPr>
        <w:t>Fires triggered spatial reorgani</w:t>
      </w:r>
      <w:r>
        <w:rPr>
          <w:rFonts w:hint="eastAsia" w:ascii="Times New Roman" w:hAnsi="Times New Roman"/>
          <w:sz w:val="24"/>
          <w:szCs w:val="24"/>
        </w:rPr>
        <w:t>z</w:t>
      </w:r>
      <w:r>
        <w:rPr>
          <w:rFonts w:ascii="Times New Roman" w:hAnsi="Times New Roman"/>
          <w:sz w:val="24"/>
          <w:szCs w:val="24"/>
        </w:rPr>
        <w:t>ation of terrestrial vertebrate species richness in Los Angeles</w:t>
      </w:r>
      <w:r>
        <w:rPr>
          <w:rFonts w:hint="eastAsia" w:ascii="Times New Roman" w:hAnsi="Times New Roman"/>
          <w:sz w:val="24"/>
          <w:szCs w:val="24"/>
        </w:rPr>
        <w:t xml:space="preserve">, species in different taxa have varied behavior when facing fire, also, </w:t>
      </w:r>
      <w:r>
        <w:rPr>
          <w:rFonts w:ascii="Times New Roman" w:hAnsi="Times New Roman"/>
          <w:sz w:val="24"/>
          <w:szCs w:val="24"/>
        </w:rPr>
        <w:t>the influence of wildfire burn severity on vertebrate biodiversity dynamics is highly non-uniform and inconsistent across distinct wildfire events and specific localized geographic patches</w:t>
      </w:r>
      <w:r>
        <w:rPr>
          <w:rFonts w:hint="eastAsia" w:ascii="Times New Roman" w:hAnsi="Times New Roman"/>
          <w:sz w:val="24"/>
          <w:szCs w:val="24"/>
        </w:rPr>
        <w:t>, all these mentioned above poses great challenge for post conservation and management.</w:t>
      </w:r>
    </w:p>
    <w:p w14:paraId="15D2D24B">
      <w:pPr>
        <w:spacing w:line="240" w:lineRule="auto"/>
        <w:rPr>
          <w:rFonts w:ascii="Times New Roman" w:hAnsi="Times New Roman"/>
          <w:sz w:val="24"/>
          <w:szCs w:val="24"/>
        </w:rPr>
      </w:pPr>
      <w:r>
        <w:rPr>
          <w:rFonts w:hint="eastAsia" w:ascii="Times New Roman" w:hAnsi="Times New Roman"/>
          <w:sz w:val="24"/>
          <w:szCs w:val="24"/>
        </w:rPr>
        <w:t>Our results shows that a</w:t>
      </w:r>
      <w:r>
        <w:rPr>
          <w:rFonts w:ascii="Times New Roman" w:hAnsi="Times New Roman"/>
          <w:sz w:val="24"/>
          <w:szCs w:val="24"/>
        </w:rPr>
        <w:t>mphibian w</w:t>
      </w:r>
      <w:r>
        <w:rPr>
          <w:rFonts w:hint="eastAsia" w:ascii="Times New Roman" w:hAnsi="Times New Roman"/>
          <w:sz w:val="24"/>
          <w:szCs w:val="24"/>
        </w:rPr>
        <w:t>as the</w:t>
      </w:r>
      <w:r>
        <w:rPr>
          <w:rFonts w:ascii="Times New Roman" w:hAnsi="Times New Roman"/>
          <w:sz w:val="24"/>
          <w:szCs w:val="24"/>
        </w:rPr>
        <w:t xml:space="preserve"> most severely impacted by the fires, with a decline in suitable habitat covering as much as 70.96% of the study area</w:t>
      </w:r>
      <w:r>
        <w:rPr>
          <w:rFonts w:hint="eastAsia" w:ascii="Times New Roman" w:hAnsi="Times New Roman"/>
          <w:sz w:val="24"/>
          <w:szCs w:val="24"/>
        </w:rPr>
        <w:t>. However, although they suffered the most suitable habitat decline, they are somehow more resistant to fire intensity change compared to mammal and reptile</w:t>
      </w:r>
      <w:r>
        <w:rPr>
          <w:rFonts w:ascii="Times New Roman" w:hAnsi="Times New Roman"/>
          <w:sz w:val="24"/>
          <w:szCs w:val="24"/>
        </w:rPr>
        <w:fldChar w:fldCharType="begin"/>
      </w:r>
      <w:r>
        <w:rPr>
          <w:rFonts w:ascii="Times New Roman" w:hAnsi="Times New Roman"/>
          <w:sz w:val="24"/>
          <w:szCs w:val="24"/>
        </w:rPr>
        <w:instrText xml:space="preserve"> ADDIN ZOTERO_ITEM CSL_CITATION {"citationID":"zu7sXmho","properties":{"unsorted":false,"formattedCitation":"(Driscoll et al., 2024)","plainCitation":"(Driscoll et al., 2024)","noteIndex":0},"citationItems":[{"id":484,"uris":["http://zotero.org/users/17543282/items/H8LLSIS4"],"itemData":{"id":484,"type":"article-journal","abstract":"Data collected from more than 2,000 taxa provide an unparalleled opportunity to quantify how extreme wildfires affect biodiversity, revealing that the largest effects on plants and animals were in areas with frequent or recent past fires and within extensively burnt areas.","container-title":"Nature","DOI":"10.1038/s41586-024-08174-6","ISSN":"1476-4687","issue":"8040","language":"en","license":"2024 The Author(s)","page":"898-905","publisher":"Nature Publishing Group","source":"www.nature.com","title":"Biodiversity impacts of the 2019–2020 Australian megafires","volume":"635","author":[{"family":"Driscoll","given":"Don A."},{"family":"Macdonald","given":"Kristina J."},{"family":"Gibson","given":"Rebecca K."},{"family":"Doherty","given":"Tim S."},{"family":"Nimmo","given":"Dale G."},{"family":"Nolan","given":"Rachael H."},{"family":"Ritchie","given":"Euan G."},{"family":"Williamson","given":"Grant J."},{"family":"Heard","given":"Geoffrey W."},{"family":"Tasker","given":"Elizabeth M."},{"family":"Bilney","given":"Rohan"},{"family":"Porch","given":"Nick"},{"family":"Collett","given":"Rachael A."},{"family":"Crates","given":"Ross A."},{"family":"Hewitt","given":"Alison C."},{"family":"Pendall","given":"Elise"},{"family":"Boer","given":"Matthias M."},{"family":"Gates","given":"Jody"},{"family":"Boulton","given":"Rebecca L."},{"family":"Mclean","given":"Christopher M."},{"family":"Groffen","given":"Heidi"},{"family":"Maisey","given":"Alex C."},{"family":"Beranek","given":"Chad T."},{"family":"Ryan","given":"Shelby A."},{"family":"Callen","given":"Alex"},{"family":"Hamer","given":"Andrew J."},{"family":"Stauber","given":"Andrew"},{"family":"Daly","given":"Garry J."},{"family":"Gould","given":"John"},{"family":"Klop-Toker","given":"Kaya L."},{"family":"Mahony","given":"Michael J."},{"family":"Kelly","given":"Oliver W."},{"family":"Wallace","given":"Samantha L."},{"family":"Stock","given":"Sarah E."},{"family":"Weston","given":"Christopher J."},{"family":"Volkova","given":"Liubov"},{"family":"Black","given":"Dennis"},{"family":"Gibb","given":"Heloise"},{"family":"Grubb","given":"Joshua J."},{"family":"McGeoch","given":"Melodie A."},{"family":"Murphy","given":"Nick P."},{"family":"Lee","given":"Joshua S."},{"family":"Dickman","given":"Chris R."},{"family":"Neldner","given":"Victor J."},{"family":"Ngugi","given":"Michael R."},{"family":"Miritis","given":"Vivianna"},{"family":"Köhler","given":"Frank"},{"family":"Perri","given":"Marc"},{"family":"Denham","given":"Andrew J."},{"family":"Mackenzie","given":"Berin D. E."},{"family":"Reid","given":"Chris A. M."},{"family":"Rayment","given":"Julia T."},{"family":"Arriaga-Jiménez","given":"Alfonsina"},{"family":"Hewins","given":"Michael W."},{"family":"Hicks","given":"Andrew"},{"family":"Melbourne","given":"Brett A."},{"family":"Davies","given":"Kendi F."},{"family":"Bitters","given":"Matthew E."},{"family":"Linley","given":"Grant D."},{"family":"Greenville","given":"Aaron C."},{"family":"Webb","given":"Jonathan K."},{"family":"Roberts","given":"Bridget"},{"family":"Letnic","given":"Mike"},{"family":"Price","given":"Owen F."},{"family":"Walker","given":"Zac C."},{"family":"Murray","given":"Brad R."},{"family":"Verhoeven","given":"Elise M."},{"family":"Thomsen","given":"Alexandria M."},{"family":"Keith","given":"David"},{"family":"Lemmon","given":"Jedda S."},{"family":"Ooi","given":"Mark K. J."},{"family":"Allen","given":"Vanessa L."},{"family":"Decker","given":"Orsi T."},{"family":"Green","given":"Peter T."},{"family":"Moussalli","given":"Adnan"},{"family":"Foon","given":"Junn K."},{"family":"Bryant","given":"David B."},{"family":"Walker","given":"Ken L."},{"family":"Bruce","given":"Matthew J."},{"family":"Madani","given":"George"},{"family":"Tscharke","given":"Jeremy L."},{"family":"Wagner","given":"Benjamin"},{"family":"Nitschke","given":"Craig R."},{"family":"Gosper","given":"Carl R."},{"family":"Yates","given":"Colin J."},{"family":"Dillon","given":"Rebecca"},{"family":"Barrett","given":"Sarah"},{"family":"Spencer","given":"Emma E."},{"family":"Wardle","given":"Glenda M."},{"family":"Newsome","given":"Thomas M."},{"family":"Pulsford","given":"Stephanie A."},{"family":"Singh","given":"Anu"},{"family":"Roff","given":"Adam"},{"family":"Marsh","given":"Karen J."},{"family":"Mcdonald","given":"Kye"},{"family":"Howell","given":"Lachlan G."},{"family":"Lane","given":"Murraya R."},{"family":"Cristescu","given":"Romane H."},{"family":"Witt","given":"Ryan R."},{"family":"Cook","given":"Emma J."},{"family":"Grant","given":"Felicity"},{"family":"Law","given":"Bradley S."},{"family":"Seddon","given":"Julian"},{"family":"Berris","given":"Karleah K."},{"family":"Shofner","given":"Ryan M."},{"family":"Barth","given":"Mike"},{"family":"Welz","given":"Torran"},{"family":"Foster","given":"Alison"},{"family":"Hancock","given":"David"},{"family":"Beitzel","given":"Matthew"},{"family":"Tan","given":"Laura X. L."},{"family":"Waddell","given":"Nathan A."},{"family":"Fallow","given":"Pamela M."},{"family":"Schweickle","given":"Laura"},{"family":"Le Breton","given":"Tom D."},{"family":"Dunne","given":"Craig"},{"family":"Green","given":"Mikayla"},{"family":"Gilpin","given":"Amy-Marie"},{"family":"Cook","given":"James M."},{"family":"Power","given":"Sally A."},{"family":"Hogendoorn","given":"Katja"},{"family":"Brawata","given":"Renee"},{"family":"Jolly","given":"Chris J."},{"family":"Tozer","given":"Mark"},{"family":"Reiter","given":"Noushka"},{"family":"Phillips","given":"Ryan D."}],"issued":{"date-parts":[["2024",11]]}}}],"schema":"https://github.com/citation-style-language/schema/raw/master/csl-citation.json"} </w:instrText>
      </w:r>
      <w:r>
        <w:rPr>
          <w:rFonts w:ascii="Times New Roman" w:hAnsi="Times New Roman"/>
          <w:sz w:val="24"/>
          <w:szCs w:val="24"/>
        </w:rPr>
        <w:fldChar w:fldCharType="separate"/>
      </w:r>
      <w:r>
        <w:rPr>
          <w:rFonts w:ascii="Times New Roman" w:hAnsi="Times New Roman"/>
          <w:sz w:val="24"/>
        </w:rPr>
        <w:t>(Driscoll et al., 2024)</w:t>
      </w:r>
      <w:r>
        <w:rPr>
          <w:rFonts w:ascii="Times New Roman" w:hAnsi="Times New Roman"/>
          <w:sz w:val="24"/>
          <w:szCs w:val="24"/>
        </w:rPr>
        <w:fldChar w:fldCharType="end"/>
      </w:r>
      <w:r>
        <w:rPr>
          <w:rFonts w:hint="eastAsia" w:ascii="Times New Roman" w:hAnsi="Times New Roman"/>
          <w:sz w:val="24"/>
          <w:szCs w:val="24"/>
        </w:rPr>
        <w:t>.</w:t>
      </w:r>
      <w:r>
        <w:rPr>
          <w:rFonts w:ascii="Times New Roman" w:hAnsi="Times New Roman"/>
          <w:sz w:val="24"/>
          <w:szCs w:val="24"/>
        </w:rPr>
        <w:t xml:space="preserve"> Reptile also exhibited a significant decline trend and they showed the highest sensitivity to initial changes in fire intensity,</w:t>
      </w:r>
      <w:r>
        <w:rPr>
          <w:rFonts w:hint="eastAsia" w:ascii="Times New Roman" w:hAnsi="Times New Roman"/>
          <w:sz w:val="24"/>
          <w:szCs w:val="24"/>
        </w:rPr>
        <w:t xml:space="preserve"> </w:t>
      </w:r>
      <w:r>
        <w:rPr>
          <w:rFonts w:ascii="Times New Roman" w:hAnsi="Times New Roman"/>
          <w:sz w:val="24"/>
          <w:szCs w:val="24"/>
        </w:rPr>
        <w:t>tipping</w:t>
      </w:r>
      <w:r>
        <w:rPr>
          <w:rFonts w:hint="eastAsia" w:ascii="Times New Roman" w:hAnsi="Times New Roman"/>
          <w:sz w:val="24"/>
          <w:szCs w:val="24"/>
        </w:rPr>
        <w:t xml:space="preserve"> point occurred at -0.06, taken the ecology meaning of NBR into account</w:t>
      </w:r>
      <w:r>
        <w:rPr>
          <w:rFonts w:ascii="Times New Roman" w:hAnsi="Times New Roman"/>
          <w:sz w:val="24"/>
          <w:szCs w:val="24"/>
        </w:rPr>
        <w:fldChar w:fldCharType="begin"/>
      </w:r>
      <w:r>
        <w:rPr>
          <w:rFonts w:ascii="Times New Roman" w:hAnsi="Times New Roman"/>
          <w:sz w:val="24"/>
          <w:szCs w:val="24"/>
        </w:rPr>
        <w:instrText xml:space="preserve"> ADDIN ZOTERO_ITEM CSL_CITATION {"citationID":"ycyUH5q7","properties":{"unsorted":false,"formattedCitation":"(Chuvieco et al., 2019)","plainCitation":"(Chuvieco et al., 2019)","noteIndex":0},"citationItems":[{"id":317,"uris":["http://zotero.org/users/17543282/items/ETFEDAFS"],"itemData":{"id":317,"type":"article-journal","abstract":"Fire has a diverse range of impacts on Earth's physical and social systems. Accurate and up to date information on areas affected by fire is critical to better understand drivers of fire activity, as well as its relevance for biogeochemical cycles, climate, air quality, and to aid fire management. Mapping burned areas was traditionally done from field sketches. With the launch of the first Earth observation satellites, remote sensing quickly became a more practical alternative to detect burned areas, as they provide timely regional and global coverage of fire occurrence. This review paper explores the physical basis to detect burned area from satellite observations, describes the historical trends of using satellite sensors to monitor burned areas, summarizes the most recent approaches to map burned areas and evaluates the existing burned area products (both at global and regional scales). Finally, it identifies potential future opportunities to further improve burned area detection from Earth observation satellites.","container-title":"Remote Sensing of Environment","DOI":"10.1016/j.rse.2019.02.013","ISSN":"0034-4257","journalAbbreviation":"Remote Sensing of Environment","page":"45-64","source":"ScienceDirect","title":"Historical background and current developments for mapping burned area from satellite Earth observation","volume":"225","author":[{"family":"Chuvieco","given":"Emilio"},{"family":"Mouillot","given":"Florent"},{"family":"Werf","given":"Guido R.","non-dropping-particle":"van der"},{"family":"San Miguel","given":"Jesús"},{"family":"Tanase","given":"Mihai"},{"family":"Koutsias","given":"Nikos"},{"family":"García","given":"Mariano"},{"family":"Yebra","given":"Marta"},{"family":"Padilla","given":"Marc"},{"family":"Gitas","given":"Ioannis"},{"family":"Heil","given":"Angelika"},{"family":"Hawbaker","given":"Todd J."},{"family":"Giglio","given":"Louis"}],"issued":{"date-parts":[["2019",5,1]]}}}],"schema":"https://github.com/citation-style-language/schema/raw/master/csl-citation.json"} </w:instrText>
      </w:r>
      <w:r>
        <w:rPr>
          <w:rFonts w:ascii="Times New Roman" w:hAnsi="Times New Roman"/>
          <w:sz w:val="24"/>
          <w:szCs w:val="24"/>
        </w:rPr>
        <w:fldChar w:fldCharType="separate"/>
      </w:r>
      <w:r>
        <w:rPr>
          <w:rFonts w:ascii="Times New Roman" w:hAnsi="Times New Roman"/>
          <w:sz w:val="24"/>
        </w:rPr>
        <w:t>(Chuvieco et al., 2019)</w:t>
      </w:r>
      <w:r>
        <w:rPr>
          <w:rFonts w:ascii="Times New Roman" w:hAnsi="Times New Roman"/>
          <w:sz w:val="24"/>
          <w:szCs w:val="24"/>
        </w:rPr>
        <w:fldChar w:fldCharType="end"/>
      </w:r>
      <w:r>
        <w:rPr>
          <w:rFonts w:hint="eastAsia" w:ascii="Times New Roman" w:hAnsi="Times New Roman"/>
          <w:sz w:val="24"/>
          <w:szCs w:val="24"/>
        </w:rPr>
        <w:t>, means reptile may prefer</w:t>
      </w:r>
      <w:r>
        <w:rPr>
          <w:rFonts w:ascii="Times New Roman" w:hAnsi="Times New Roman"/>
          <w:sz w:val="24"/>
          <w:szCs w:val="24"/>
        </w:rPr>
        <w:t xml:space="preserve"> environment</w:t>
      </w:r>
      <w:r>
        <w:rPr>
          <w:rFonts w:hint="eastAsia" w:ascii="Times New Roman" w:hAnsi="Times New Roman"/>
          <w:sz w:val="24"/>
          <w:szCs w:val="24"/>
        </w:rPr>
        <w:t xml:space="preserve"> w</w:t>
      </w:r>
      <w:r>
        <w:rPr>
          <w:rFonts w:ascii="Times New Roman" w:hAnsi="Times New Roman"/>
          <w:sz w:val="24"/>
          <w:szCs w:val="24"/>
        </w:rPr>
        <w:t>ith good vegetation cover and ample water</w:t>
      </w:r>
      <w:r>
        <w:rPr>
          <w:rFonts w:ascii="Times New Roman" w:hAnsi="Times New Roman"/>
          <w:sz w:val="24"/>
          <w:szCs w:val="24"/>
        </w:rPr>
        <w:fldChar w:fldCharType="begin"/>
      </w:r>
      <w:r>
        <w:rPr>
          <w:rFonts w:ascii="Times New Roman" w:hAnsi="Times New Roman"/>
          <w:sz w:val="24"/>
          <w:szCs w:val="24"/>
        </w:rPr>
        <w:instrText xml:space="preserve"> ADDIN ZOTERO_ITEM CSL_CITATION {"citationID":"1Fuhdkqh","properties":{"unsorted":false,"formattedCitation":"({\\i{}Habitat Preferences of Different Reptile Species}, 2024)","plainCitation":"(Habitat Preferences of Different Reptile Species, 2024)","noteIndex":0},"citationItems":[{"id":497,"uris":["http://zotero.org/users/17543282/items/JYKXDCAC"],"itemData":{"id":497,"type":"webpage","abstract":"Explore the diverse habitat preferences of reptiles, from desert dwellers to urban species. Discover conservation efforts to protect these ecosystems.","language":"en-US","note":"section: Reptiles","title":"Habitat preferences of different reptile species","URL":"https://animalnepal.org/habitat-preferences-different/","accessed":{"date-parts":[["2026",6,15]]},"issued":{"date-parts":[["2024",5,1]]}}}],"schema":"https://github.com/citation-style-language/schema/raw/master/csl-citation.json"} </w:instrText>
      </w:r>
      <w:r>
        <w:rPr>
          <w:rFonts w:ascii="Times New Roman" w:hAnsi="Times New Roman"/>
          <w:sz w:val="24"/>
          <w:szCs w:val="24"/>
        </w:rPr>
        <w:fldChar w:fldCharType="separate"/>
      </w:r>
      <w:r>
        <w:rPr>
          <w:rFonts w:ascii="Times New Roman" w:hAnsi="Times New Roman"/>
          <w:sz w:val="24"/>
        </w:rPr>
        <w:t>(</w:t>
      </w:r>
      <w:r>
        <w:rPr>
          <w:rFonts w:ascii="Times New Roman" w:hAnsi="Times New Roman"/>
          <w:i/>
          <w:iCs/>
          <w:sz w:val="24"/>
        </w:rPr>
        <w:t>Habitat Preferences of Different Reptile Species</w:t>
      </w:r>
      <w:r>
        <w:rPr>
          <w:rFonts w:ascii="Times New Roman" w:hAnsi="Times New Roman"/>
          <w:sz w:val="24"/>
        </w:rPr>
        <w:t>, 2024)</w:t>
      </w:r>
      <w:r>
        <w:rPr>
          <w:rFonts w:ascii="Times New Roman" w:hAnsi="Times New Roman"/>
          <w:sz w:val="24"/>
          <w:szCs w:val="24"/>
        </w:rPr>
        <w:fldChar w:fldCharType="end"/>
      </w:r>
      <w:r>
        <w:rPr>
          <w:rFonts w:hint="eastAsia" w:ascii="Times New Roman" w:hAnsi="Times New Roman"/>
          <w:sz w:val="24"/>
          <w:szCs w:val="24"/>
        </w:rPr>
        <w:t>. High</w:t>
      </w:r>
      <w:r>
        <w:rPr>
          <w:rFonts w:ascii="Times New Roman" w:hAnsi="Times New Roman"/>
          <w:sz w:val="24"/>
          <w:szCs w:val="24"/>
        </w:rPr>
        <w:t xml:space="preserve"> </w:t>
      </w:r>
      <w:r>
        <w:rPr>
          <w:rFonts w:hint="eastAsia" w:ascii="Times New Roman" w:hAnsi="Times New Roman"/>
          <w:sz w:val="24"/>
          <w:szCs w:val="24"/>
        </w:rPr>
        <w:t xml:space="preserve">point </w:t>
      </w:r>
      <w:r>
        <w:rPr>
          <w:rFonts w:ascii="Times New Roman" w:hAnsi="Times New Roman"/>
          <w:sz w:val="24"/>
          <w:szCs w:val="24"/>
        </w:rPr>
        <w:t>at a dNBR of approximately 0.4, the decline in reptile populations began to ease</w:t>
      </w:r>
      <w:r>
        <w:rPr>
          <w:rFonts w:hint="eastAsia" w:ascii="Times New Roman" w:hAnsi="Times New Roman"/>
          <w:sz w:val="24"/>
          <w:szCs w:val="24"/>
        </w:rPr>
        <w:t>,</w:t>
      </w:r>
      <w:r>
        <w:rPr>
          <w:rFonts w:ascii="Times New Roman" w:hAnsi="Times New Roman"/>
          <w:sz w:val="24"/>
          <w:szCs w:val="24"/>
        </w:rPr>
        <w:t xml:space="preserve"> </w:t>
      </w:r>
      <w:r>
        <w:rPr>
          <w:rFonts w:hint="eastAsia" w:ascii="Times New Roman" w:hAnsi="Times New Roman"/>
          <w:sz w:val="24"/>
          <w:szCs w:val="24"/>
        </w:rPr>
        <w:t xml:space="preserve">as </w:t>
      </w:r>
      <w:r>
        <w:rPr>
          <w:rFonts w:ascii="Times New Roman" w:hAnsi="Times New Roman"/>
          <w:sz w:val="24"/>
          <w:szCs w:val="24"/>
        </w:rPr>
        <w:t>reptile metabolism is highly sensitive to temperature</w:t>
      </w:r>
      <w:r>
        <w:rPr>
          <w:rFonts w:ascii="Times New Roman" w:hAnsi="Times New Roman"/>
          <w:sz w:val="24"/>
          <w:szCs w:val="24"/>
        </w:rPr>
        <w:fldChar w:fldCharType="begin"/>
      </w:r>
      <w:r>
        <w:rPr>
          <w:rFonts w:ascii="Times New Roman" w:hAnsi="Times New Roman"/>
          <w:sz w:val="24"/>
          <w:szCs w:val="24"/>
        </w:rPr>
        <w:instrText xml:space="preserve"> ADDIN ZOTERO_ITEM CSL_CITATION {"citationID":"68NWQOaq","properties":{"unsorted":false,"formattedCitation":"(Sinervo et al., 2010)","plainCitation":"(Sinervo et al., 2010)","noteIndex":0},"citationItems":[{"id":496,"uris":["http://zotero.org/users/17543282/items/M4RNUYJU"],"itemData":{"id":496,"type":"article-journal","container-title":"Science","DOI":"10.1126/science.1184695","ISSN":"0036-8075","issue":"5980","journalAbbreviation":"Science (New York, N.Y.)","language":"English","page":"894-899","publisher":"American Association for the Advancement of Science (AAAS)","source":"research.monash.edu","title":"Erosion of lizard diversity by climate change and altered thermal niches","volume":"328","author":[{"family":"Sinervo","given":"Barry"},{"family":"Mendez-de-la-Cruz","given":"Fausto"},{"family":"Miles","given":"Donald B."},{"family":"Heulin","given":"Benoit"},{"family":"Bastiaans","given":"Elizabeth"},{"family":"Cruz","given":"Maricela Villagran-Santa"},{"family":"Lara-Resendiz","given":"Rafael"},{"family":"Martinez-Mendez","given":"Norberto"},{"family":"Calderon-Espinosa","given":"Martha Lucia"},{"family":"Meza-Lazaro","given":"Rubi Nelsi"},{"family":"Gadsden","given":"Hector"},{"family":"Avila","given":"Luciana"},{"family":"Morando","given":"Mariana"},{"family":"Riva","given":"Ignacio De La"},{"family":"Sepulveda","given":"Pedro"},{"family":"Rocha","given":"Carlos"},{"family":"Ibarguengoytia","given":"Nora"},{"family":"Puntriano","given":"Cesar"},{"family":"Massot","given":"Manuel"},{"family":"Lepetz","given":"Virginie"},{"family":"Oksanen","given":"Tuala"},{"family":"Chapple","given":"David Gregory"},{"family":"Bauer","given":"Aaron"},{"family":"Branch","given":"William"},{"family":"Clobert","given":"Jean"},{"family":"Sites","given":"Jack"}],"issued":{"date-parts":[["2010"]]}}}],"schema":"https://github.com/citation-style-language/schema/raw/master/csl-citation.json"} </w:instrText>
      </w:r>
      <w:r>
        <w:rPr>
          <w:rFonts w:ascii="Times New Roman" w:hAnsi="Times New Roman"/>
          <w:sz w:val="24"/>
          <w:szCs w:val="24"/>
        </w:rPr>
        <w:fldChar w:fldCharType="separate"/>
      </w:r>
      <w:r>
        <w:rPr>
          <w:rFonts w:ascii="Times New Roman" w:hAnsi="Times New Roman"/>
          <w:sz w:val="24"/>
        </w:rPr>
        <w:t>(Sinervo et al., 2010)</w:t>
      </w:r>
      <w:r>
        <w:rPr>
          <w:rFonts w:ascii="Times New Roman" w:hAnsi="Times New Roman"/>
          <w:sz w:val="24"/>
          <w:szCs w:val="24"/>
        </w:rPr>
        <w:fldChar w:fldCharType="end"/>
      </w:r>
      <w:r>
        <w:rPr>
          <w:rFonts w:hint="eastAsia" w:ascii="Times New Roman" w:hAnsi="Times New Roman"/>
          <w:sz w:val="24"/>
          <w:szCs w:val="24"/>
        </w:rPr>
        <w:t xml:space="preserve">, we </w:t>
      </w:r>
      <w:r>
        <w:rPr>
          <w:rFonts w:ascii="Times New Roman" w:hAnsi="Times New Roman"/>
          <w:sz w:val="24"/>
          <w:szCs w:val="24"/>
        </w:rPr>
        <w:t>specula</w:t>
      </w:r>
      <w:r>
        <w:rPr>
          <w:rFonts w:hint="eastAsia" w:ascii="Times New Roman" w:hAnsi="Times New Roman"/>
          <w:sz w:val="24"/>
          <w:szCs w:val="24"/>
        </w:rPr>
        <w:t xml:space="preserve">te this may due to the fact </w:t>
      </w:r>
      <w:r>
        <w:rPr>
          <w:rFonts w:ascii="Times New Roman" w:hAnsi="Times New Roman"/>
          <w:sz w:val="24"/>
          <w:szCs w:val="24"/>
        </w:rPr>
        <w:t>that</w:t>
      </w:r>
      <w:r>
        <w:rPr>
          <w:rFonts w:hint="eastAsia" w:ascii="Times New Roman" w:hAnsi="Times New Roman"/>
          <w:sz w:val="24"/>
          <w:szCs w:val="24"/>
        </w:rPr>
        <w:t xml:space="preserve"> as the fire happened frequently, most reptile have </w:t>
      </w:r>
      <w:r>
        <w:rPr>
          <w:rFonts w:ascii="Times New Roman" w:hAnsi="Times New Roman"/>
          <w:sz w:val="24"/>
          <w:szCs w:val="24"/>
        </w:rPr>
        <w:t>adapted to a relatively dry and open environment</w:t>
      </w:r>
      <w:r>
        <w:rPr>
          <w:rFonts w:ascii="Times New Roman" w:hAnsi="Times New Roman"/>
          <w:sz w:val="24"/>
          <w:szCs w:val="24"/>
        </w:rPr>
        <w:fldChar w:fldCharType="begin"/>
      </w:r>
      <w:r>
        <w:rPr>
          <w:rFonts w:ascii="Times New Roman" w:hAnsi="Times New Roman"/>
          <w:sz w:val="24"/>
          <w:szCs w:val="24"/>
        </w:rPr>
        <w:instrText xml:space="preserve"> ADDIN ZOTERO_ITEM CSL_CITATION {"citationID":"YQ5o85gk","properties":{"unsorted":false,"formattedCitation":"(Pausas &amp; Parr, 2018)","plainCitation":"(Pausas &amp; Parr, 2018)","noteIndex":0},"citationItems":[{"id":498,"uris":["http://zotero.org/users/17543282/items/YU46D6C9"],"itemData":{"id":498,"type":"article-journal","abstract":"Wildfires underpin the dynamics and diversity of many ecosystems worldwide, and plants show a plethora of adaptive traits for persisting recurrent fires. Many fire-prone ecosystems also harbor a rich fauna; however, knowledge about adaptive traits to fire in animals remains poorly explored. We review existing literature and suggest that fire is an important evolutionary driver for animal diversity because (1) many animals are present in fire-prone landscapes and may have structural and phenotypic characters that contribute to adaptation to these open landscapes; and (2) in some cases, animals from fire-prone ecosystems may show specific fire adaptations. While there is limited evidence on morphological fire adaptations in animals, there is evidence suggesting that different behaviors might provide a rich source of putative fire adaptations; this is because, in contrast to plants, most animals are mobile, unitary organisms, have reduced survival when directly burnt by fire and can move away from the fire. We call for research on fire adaptations (morphological, behavioral, and physiological) in animals, and emphasize that in the animal kingdom many fire adaptations are likely to be behavioral. While it may be difficult to discern these adaptations from other animal behaviors, making this distinction is fundamental if we want to understand the role of fire in shaping biodiversity. Developing this understanding is critical to how we view and manage our ecosystems in the face of current global and fire regime changes.","container-title":"Evolutionary Ecology","DOI":"10.1007/s10682-018-9927-6","journalAbbreviation":"Evolutionary Ecology","source":"ResearchGate","title":"Towards an understanding of the evolutionary role of fire in animals","volume":"32","author":[{"family":"Pausas","given":"Juli"},{"family":"Parr","given":"Catherine"}],"issued":{"date-parts":[["2018",6,1]]}}}],"schema":"https://github.com/citation-style-language/schema/raw/master/csl-citation.json"} </w:instrText>
      </w:r>
      <w:r>
        <w:rPr>
          <w:rFonts w:ascii="Times New Roman" w:hAnsi="Times New Roman"/>
          <w:sz w:val="24"/>
          <w:szCs w:val="24"/>
        </w:rPr>
        <w:fldChar w:fldCharType="separate"/>
      </w:r>
      <w:r>
        <w:rPr>
          <w:rFonts w:ascii="Times New Roman" w:hAnsi="Times New Roman"/>
          <w:sz w:val="24"/>
        </w:rPr>
        <w:t>(Pausas &amp; Parr, 2018)</w:t>
      </w:r>
      <w:r>
        <w:rPr>
          <w:rFonts w:ascii="Times New Roman" w:hAnsi="Times New Roman"/>
          <w:sz w:val="24"/>
          <w:szCs w:val="24"/>
        </w:rPr>
        <w:fldChar w:fldCharType="end"/>
      </w:r>
      <w:r>
        <w:rPr>
          <w:rFonts w:hint="eastAsia" w:ascii="Times New Roman" w:hAnsi="Times New Roman"/>
          <w:sz w:val="24"/>
          <w:szCs w:val="24"/>
        </w:rPr>
        <w:t>.</w:t>
      </w:r>
      <w:r>
        <w:rPr>
          <w:rFonts w:ascii="Times New Roman" w:hAnsi="Times New Roman"/>
          <w:sz w:val="24"/>
          <w:szCs w:val="24"/>
        </w:rPr>
        <w:t>In contrast, mammal exhibited complex bidirectional responses, with a relatively low proportion of habitat decline (54.97%), and demonstrated a marked local increase in species richness at the Hughes fire boundary (an increase of 3 to 19 species). This phenomenon is primarily attributable to mammal’</w:t>
      </w:r>
      <w:r>
        <w:rPr>
          <w:rFonts w:hint="eastAsia" w:ascii="Times New Roman" w:hAnsi="Times New Roman"/>
          <w:sz w:val="24"/>
          <w:szCs w:val="24"/>
        </w:rPr>
        <w:t>s</w:t>
      </w:r>
      <w:r>
        <w:rPr>
          <w:rFonts w:ascii="Times New Roman" w:hAnsi="Times New Roman"/>
          <w:sz w:val="24"/>
          <w:szCs w:val="24"/>
        </w:rPr>
        <w:t xml:space="preserve"> superior mobility</w:t>
      </w:r>
      <w:r>
        <w:rPr>
          <w:rFonts w:ascii="Times New Roman" w:hAnsi="Times New Roman"/>
          <w:sz w:val="24"/>
          <w:szCs w:val="24"/>
        </w:rPr>
        <w:fldChar w:fldCharType="begin"/>
      </w:r>
      <w:r>
        <w:rPr>
          <w:rFonts w:ascii="Times New Roman" w:hAnsi="Times New Roman"/>
          <w:sz w:val="24"/>
          <w:szCs w:val="24"/>
        </w:rPr>
        <w:instrText xml:space="preserve"> ADDIN ZOTERO_ITEM CSL_CITATION {"citationID":"UQtpug7d","properties":{"unsorted":false,"formattedCitation":"(Nimmo et al., 2021)","plainCitation":"(Nimmo et al., 2021)","noteIndex":0},"citationItems":[{"id":504,"uris":["http://zotero.org/users/17543282/items/G8FYQU7L"],"itemData":{"id":504,"type":"article-journal","abstract":"Planet Earth is entering the age of megafire, pushing ecosystems to their limits and beyond. While fire causes mortality of animals across vast portions of the globe, scientists are only beginning to consider fire as an evolutionary force in animal ecology. Here, we generate a series of hypotheses regarding animal responses to fire by adopting insights from the predator–prey literature. Fire is a lethal threat; thus, there is likely strong selection for animals to recognize the olfactory, auditory, and visual cues of fire, and deploy fire avoidance behaviours that maximize survival probability. If fire defences are costly, it follows that intraspecific variation in fire avoidance behaviours should correspond with variation in fire behaviour and regimes. Species and populations inhabiting ecosystems that rarely experience fire may lack these traits, placing ‘fire naive’ populations and species at enhanced extinction risk as the distribution of fire extends into new ecosystem types. We outline a research agenda to understand behavioural responses to fire and to identify conservation interventions that could be used to overcome fire naivety.","container-title":"Global Change Biology","DOI":"10.1111/gcb.15834","journalAbbreviation":"Global Change Biology","page":"5684-5693","source":"ResearchGate","title":"Welcome to the Pyrocene: Animal survival in the age of megafire","title-short":"Welcome to the Pyrocene","volume":"27","author":[{"family":"Nimmo","given":"Dale"},{"family":"Carthey","given":"Alexandra"},{"family":"Jolly","given":"Chris"},{"family":"Blumstein","given":"Daniel"}],"issued":{"date-parts":[["2021",9,6]]}}}],"schema":"https://github.com/citation-style-language/schema/raw/master/csl-citation.json"} </w:instrText>
      </w:r>
      <w:r>
        <w:rPr>
          <w:rFonts w:ascii="Times New Roman" w:hAnsi="Times New Roman"/>
          <w:sz w:val="24"/>
          <w:szCs w:val="24"/>
        </w:rPr>
        <w:fldChar w:fldCharType="separate"/>
      </w:r>
      <w:r>
        <w:rPr>
          <w:rFonts w:ascii="Times New Roman" w:hAnsi="Times New Roman"/>
          <w:sz w:val="24"/>
        </w:rPr>
        <w:t>(Nimmo et al., 2021)</w:t>
      </w:r>
      <w:r>
        <w:rPr>
          <w:rFonts w:ascii="Times New Roman" w:hAnsi="Times New Roman"/>
          <w:sz w:val="24"/>
          <w:szCs w:val="24"/>
        </w:rPr>
        <w:fldChar w:fldCharType="end"/>
      </w:r>
      <w:r>
        <w:rPr>
          <w:rFonts w:ascii="Times New Roman" w:hAnsi="Times New Roman"/>
          <w:sz w:val="24"/>
          <w:szCs w:val="24"/>
        </w:rPr>
        <w:t>, behavioral plasticity</w:t>
      </w:r>
      <w:r>
        <w:rPr>
          <w:rFonts w:ascii="Times New Roman" w:hAnsi="Times New Roman"/>
          <w:sz w:val="24"/>
          <w:szCs w:val="24"/>
        </w:rPr>
        <w:fldChar w:fldCharType="begin"/>
      </w:r>
      <w:r>
        <w:rPr>
          <w:rFonts w:ascii="Times New Roman" w:hAnsi="Times New Roman"/>
          <w:sz w:val="24"/>
          <w:szCs w:val="24"/>
        </w:rPr>
        <w:instrText xml:space="preserve"> ADDIN ZOTERO_ITEM CSL_CITATION {"citationID":"cG9isqpn","properties":{"unsorted":false,"formattedCitation":"(Jacobs, 2022)","plainCitation":"(Jacobs, 2022)","noteIndex":0},"citationItems":[{"id":500,"uris":["http://zotero.org/users/17543282/items/3XAY23TI"],"itemData":{"id":500,"type":"chapter","abstract":"'Animal Response to Fire' published in 'Encyclopedia of Animal Cognition and Behavior'","container-title":"Encyclopedia of Animal Cognition and Behavior","DOI":"10.1007/978-3-319-55065-7_2095","ISBN":"978-3-319-55065-7","language":"en","note":"DOI: 10.1007/978-3-319-55065-7_2095","page":"314-317","publisher":"Springer, Cham","source":"link.springer.com","title":"Animal Response to Fire","URL":"https://link.springer.com/rwe/10.1007/978-3-319-55065-7_2095","author":[{"family":"Jacobs","given":"Ivo"}],"accessed":{"date-parts":[["2026",6,15]]},"issued":{"date-parts":[["2022"]]}}}],"schema":"https://github.com/citation-style-language/schema/raw/master/csl-citation.json"} </w:instrText>
      </w:r>
      <w:r>
        <w:rPr>
          <w:rFonts w:ascii="Times New Roman" w:hAnsi="Times New Roman"/>
          <w:sz w:val="24"/>
          <w:szCs w:val="24"/>
        </w:rPr>
        <w:fldChar w:fldCharType="separate"/>
      </w:r>
      <w:r>
        <w:rPr>
          <w:rFonts w:ascii="Times New Roman" w:hAnsi="Times New Roman"/>
          <w:sz w:val="24"/>
        </w:rPr>
        <w:t>(Jacobs, 2022)</w:t>
      </w:r>
      <w:r>
        <w:rPr>
          <w:rFonts w:ascii="Times New Roman" w:hAnsi="Times New Roman"/>
          <w:sz w:val="24"/>
          <w:szCs w:val="24"/>
        </w:rPr>
        <w:fldChar w:fldCharType="end"/>
      </w:r>
      <w:r>
        <w:rPr>
          <w:rFonts w:ascii="Times New Roman" w:hAnsi="Times New Roman"/>
          <w:sz w:val="24"/>
          <w:szCs w:val="24"/>
        </w:rPr>
        <w:t>, and the ability of small mammals to hibernate</w:t>
      </w:r>
      <w:r>
        <w:rPr>
          <w:rFonts w:ascii="Times New Roman" w:hAnsi="Times New Roman"/>
          <w:sz w:val="24"/>
          <w:szCs w:val="24"/>
        </w:rPr>
        <w:fldChar w:fldCharType="begin"/>
      </w:r>
      <w:r>
        <w:rPr>
          <w:rFonts w:ascii="Times New Roman" w:hAnsi="Times New Roman"/>
          <w:sz w:val="24"/>
          <w:szCs w:val="24"/>
        </w:rPr>
        <w:instrText xml:space="preserve"> ADDIN ZOTERO_ITEM CSL_CITATION {"citationID":"4CcbguLg","properties":{"unsorted":false,"formattedCitation":"(Stawski et al., 2015)","plainCitation":"(Stawski et al., 2015)","noteIndex":0},"citationItems":[{"id":502,"uris":["http://zotero.org/users/17543282/items/ZUIM5WVZ"],"itemData":{"id":502,"type":"article-journal","abstract":"Wildfires have increased in frequency and intensity worldwide with climate change as a main driving factor. While a number of studies have focused on population changes in regard to fires, there are essentially no quantitative data on behavioural and physiological adjustments that are vital for the persistence of individuals during and after fires. Here we show that brown antechinus, a small insectivorous marsupial mammal, (i) endured a prescribed fire in situ, (ii) remained in their scorched home range despite unburned areas nearby, and (iii) substantially increased post-fire torpor use and thus reduced foraging requirements and exposure to predators. Hence, torpor is a physiological adaptation that, although not quantified in this context previously, appears to play a key role in post-fire survival for this and other heterothermic species.\n© 2015 The Author(s) Published by the Royal Society. All rights reserved.","container-title":"Biology letters","DOI":"10.1098/rsbl.2015.0134","journalAbbreviation":"Biology letters","source":"ResearchGate","title":"The importance of mammalian torpor for survival in a post-fire landscape","volume":"11","author":[{"family":"Stawski","given":"Clare"},{"family":"Körtner","given":"Gerhard"},{"family":"Nowack","given":"Julia"},{"family":"Geiser","given":"Fritz"}],"issued":{"date-parts":[["2015",6,30]]}}}],"schema":"https://github.com/citation-style-language/schema/raw/master/csl-citation.json"} </w:instrText>
      </w:r>
      <w:r>
        <w:rPr>
          <w:rFonts w:ascii="Times New Roman" w:hAnsi="Times New Roman"/>
          <w:sz w:val="24"/>
          <w:szCs w:val="24"/>
        </w:rPr>
        <w:fldChar w:fldCharType="separate"/>
      </w:r>
      <w:r>
        <w:rPr>
          <w:rFonts w:ascii="Times New Roman" w:hAnsi="Times New Roman"/>
          <w:sz w:val="24"/>
        </w:rPr>
        <w:t>(Stawski et al., 2015)</w:t>
      </w:r>
      <w:r>
        <w:rPr>
          <w:rFonts w:ascii="Times New Roman" w:hAnsi="Times New Roman"/>
          <w:sz w:val="24"/>
          <w:szCs w:val="24"/>
        </w:rPr>
        <w:fldChar w:fldCharType="end"/>
      </w:r>
      <w:r>
        <w:rPr>
          <w:rFonts w:ascii="Times New Roman" w:hAnsi="Times New Roman"/>
          <w:sz w:val="24"/>
          <w:szCs w:val="24"/>
        </w:rPr>
        <w:t>. Highly mobile mammal can rapidly flee the fire’s core and congregate in undisturbed fringe areas or low-intensity patches, leading to a short-term surge in species richness in these peripheral zones. At the same time, low-intensity burning removes litter from the soil surface, promoting the germination of seeds and the recovery of highly nutritious herbaceous plants, providing herbivorous and opportunistic mammal with abundant early-successional food resources, thereby creating a local positive response in space.</w:t>
      </w:r>
    </w:p>
    <w:p w14:paraId="313F1715">
      <w:pPr>
        <w:spacing w:line="240" w:lineRule="auto"/>
        <w:rPr>
          <w:rFonts w:ascii="Times New Roman" w:hAnsi="Times New Roman"/>
          <w:sz w:val="24"/>
          <w:szCs w:val="24"/>
        </w:rPr>
      </w:pPr>
      <w:r>
        <w:rPr>
          <w:rFonts w:hint="eastAsia" w:ascii="Times New Roman" w:hAnsi="Times New Roman"/>
          <w:sz w:val="24"/>
          <w:szCs w:val="24"/>
        </w:rPr>
        <w:t xml:space="preserve">In addition, </w:t>
      </w:r>
      <w:r>
        <w:rPr>
          <w:rFonts w:ascii="Times New Roman" w:hAnsi="Times New Roman" w:eastAsiaTheme="minorEastAsia"/>
          <w:sz w:val="24"/>
          <w:szCs w:val="24"/>
        </w:rPr>
        <w:t>the coastal area south of Los Angeles</w:t>
      </w:r>
      <w:r>
        <w:rPr>
          <w:rFonts w:hint="eastAsia" w:ascii="Times New Roman" w:hAnsi="Times New Roman" w:eastAsiaTheme="minorEastAsia"/>
          <w:sz w:val="24"/>
          <w:szCs w:val="24"/>
        </w:rPr>
        <w:t xml:space="preserve"> </w:t>
      </w:r>
      <w:r>
        <w:rPr>
          <w:rFonts w:ascii="Times New Roman" w:hAnsi="Times New Roman" w:eastAsiaTheme="minorEastAsia"/>
          <w:sz w:val="24"/>
          <w:szCs w:val="24"/>
        </w:rPr>
        <w:t>outside the main fire zones</w:t>
      </w:r>
      <w:r>
        <w:rPr>
          <w:rFonts w:hint="eastAsia" w:ascii="Times New Roman" w:hAnsi="Times New Roman" w:eastAsiaTheme="minorEastAsia"/>
          <w:sz w:val="24"/>
          <w:szCs w:val="24"/>
        </w:rPr>
        <w:t xml:space="preserve">, </w:t>
      </w:r>
      <w:r>
        <w:rPr>
          <w:rFonts w:ascii="Times New Roman" w:hAnsi="Times New Roman" w:eastAsiaTheme="minorEastAsia"/>
          <w:sz w:val="24"/>
          <w:szCs w:val="24"/>
        </w:rPr>
        <w:t>also showed significant hotspot declines, revealing that indirect mechanisms such as soot deposition and microclimatic changes can extend wildfire ecological impacts to distant unburned areas</w:t>
      </w:r>
      <w:r>
        <w:rPr>
          <w:rFonts w:ascii="Times New Roman" w:hAnsi="Times New Roman" w:eastAsiaTheme="minorEastAsia"/>
          <w:sz w:val="24"/>
          <w:szCs w:val="24"/>
        </w:rPr>
        <w:fldChar w:fldCharType="begin"/>
      </w:r>
      <w:r>
        <w:rPr>
          <w:rFonts w:ascii="Times New Roman" w:hAnsi="Times New Roman" w:eastAsiaTheme="minorEastAsia"/>
          <w:sz w:val="24"/>
          <w:szCs w:val="24"/>
        </w:rPr>
        <w:instrText xml:space="preserve"> ADDIN ZOTERO_ITEM CSL_CITATION {"citationID":"2ZaOMs0W","properties":{"formattedCitation":"(de Andrade et al., 2026)","plainCitation":"(de Andrade et al., 2026)","noteIndex":0},"citationItems":[{"id":380,"uris":["http://zotero.org/users/17543282/items/Q8SY34QH"],"itemData":{"id":380,"type":"article-journal","abstract":"Wildfire smoke may trigger major adverse changes in global ecosystems, affecting the planet’s life support systems. However, while fire has been identified as an important global change driver, and the impacts of wildfire smoke on public health are increasingly documented, the ecological impacts of this haze have been hitherto largely neglected. Here, we help address this imbalance by outlining the multiple direct, indirect and cascading effects of wildfire smoke on organisms and ecosystems. These range from immediate adverse health impacts on air-breathing animals to long-term changes in carbon budgets of forests, and substantial changes in phytoplankton communities and coral mortality. As human health and natural systems are linked, such ecological changes are ultimately expected to have detrimental impacts on local public health, economy and wellbeing. We thus consider wildfire smoke to be a driver of global change, with the current limited literature likely capturing only a small fraction of the myriad impacts from wildfire smoke pollution. We therefore urge further research on this topic, plus actions to effectively steward fire regimes and enhance ecosystem resilience to help mitigate this threat.","container-title":"Global Ecology and Conservation","DOI":"10.1016/j.gecco.2026.e04123","ISSN":"2351-9894","journalAbbreviation":"Global Ecology and Conservation","page":"e04123","source":"ScienceDirect","title":"Going up in smoke: Hazardous ecological consequences of wildfire emissions","title-short":"Going up in smoke","volume":"66","author":[{"family":"Andrade","given":"Antonio C.","non-dropping-particle":"de"},{"family":"Harrison","given":"Mark E."},{"family":"McConkey","given":"Kim R."}],"issued":{"date-parts":[["2026",4,1]]}}}],"schema":"https://github.com/citation-style-language/schema/raw/master/csl-citation.json"} </w:instrText>
      </w:r>
      <w:r>
        <w:rPr>
          <w:rFonts w:ascii="Times New Roman" w:hAnsi="Times New Roman" w:eastAsiaTheme="minorEastAsia"/>
          <w:sz w:val="24"/>
          <w:szCs w:val="24"/>
        </w:rPr>
        <w:fldChar w:fldCharType="separate"/>
      </w:r>
      <w:r>
        <w:rPr>
          <w:rFonts w:ascii="Times New Roman" w:hAnsi="Times New Roman"/>
          <w:sz w:val="24"/>
          <w:szCs w:val="24"/>
        </w:rPr>
        <w:t>(de Andrade et al., 2026)</w:t>
      </w:r>
      <w:r>
        <w:rPr>
          <w:rFonts w:ascii="Times New Roman" w:hAnsi="Times New Roman" w:eastAsiaTheme="minorEastAsia"/>
          <w:sz w:val="24"/>
          <w:szCs w:val="24"/>
        </w:rPr>
        <w:fldChar w:fldCharType="end"/>
      </w:r>
      <w:r>
        <w:rPr>
          <w:rFonts w:ascii="Times New Roman" w:hAnsi="Times New Roman" w:eastAsiaTheme="minorEastAsia"/>
          <w:sz w:val="24"/>
          <w:szCs w:val="24"/>
        </w:rPr>
        <w:t>.</w:t>
      </w:r>
    </w:p>
    <w:p w14:paraId="3ADE1995">
      <w:pPr>
        <w:pStyle w:val="48"/>
        <w:spacing w:before="240" w:line="240" w:lineRule="auto"/>
        <w:ind w:left="0"/>
        <w:rPr>
          <w:rFonts w:ascii="Times New Roman" w:hAnsi="Times New Roman" w:eastAsiaTheme="minorEastAsia"/>
          <w:i w:val="0"/>
          <w:iCs/>
          <w:sz w:val="24"/>
          <w:szCs w:val="24"/>
          <w:lang w:eastAsia="zh-CN"/>
        </w:rPr>
      </w:pPr>
      <w:r>
        <w:rPr>
          <w:rFonts w:ascii="Times New Roman" w:hAnsi="Times New Roman" w:eastAsiaTheme="minorEastAsia"/>
          <w:i w:val="0"/>
          <w:iCs/>
          <w:sz w:val="24"/>
          <w:szCs w:val="24"/>
          <w:lang w:eastAsia="zh-CN"/>
        </w:rPr>
        <w:t>4.3 Protection Strategy and Framework Development</w:t>
      </w:r>
    </w:p>
    <w:p w14:paraId="4D76B36F">
      <w:pPr>
        <w:pStyle w:val="17"/>
        <w:spacing w:line="240" w:lineRule="auto"/>
        <w:rPr>
          <w:rFonts w:ascii="Times New Roman" w:hAnsi="Times New Roman" w:eastAsiaTheme="minorEastAsia"/>
          <w:sz w:val="24"/>
        </w:rPr>
      </w:pPr>
      <w:r>
        <w:rPr>
          <w:rFonts w:ascii="Times New Roman" w:hAnsi="Times New Roman" w:eastAsiaTheme="minorEastAsia"/>
          <w:sz w:val="24"/>
        </w:rPr>
        <w:t>The management of wildfires and subsequent post-fire biodiversity recovery present extraordinary ecological challenges due to the spatial non-stationarity of fire intensity and the starkly heterogeneous responses among distinct biological taxa</w:t>
      </w:r>
      <w:r>
        <w:rPr>
          <w:rFonts w:hint="eastAsia" w:ascii="Times New Roman" w:hAnsi="Times New Roman" w:eastAsiaTheme="minorEastAsia"/>
          <w:sz w:val="24"/>
        </w:rPr>
        <w:t>.</w:t>
      </w:r>
      <w:r>
        <w:t xml:space="preserve"> </w:t>
      </w:r>
      <w:r>
        <w:rPr>
          <w:rFonts w:ascii="Times New Roman" w:hAnsi="Times New Roman" w:eastAsiaTheme="minorEastAsia"/>
          <w:sz w:val="24"/>
        </w:rPr>
        <w:t xml:space="preserve">Proactive ecological restoration must combine landscape-scale prioritization with microhabitat-level engineering. A foundational requirement is the implementation of a complementarity-based spatial optimization framework, which intentionally shifts conservation focus away from simple species-richness hotspots toward identifying network configurations that collectively satisfy the discrete habitat requirements of all affected biological groups </w:t>
      </w:r>
      <w:r>
        <w:rPr>
          <w:rFonts w:ascii="Times New Roman" w:hAnsi="Times New Roman" w:eastAsiaTheme="minorEastAsia"/>
          <w:sz w:val="24"/>
        </w:rPr>
        <w:fldChar w:fldCharType="begin"/>
      </w:r>
      <w:r>
        <w:rPr>
          <w:rFonts w:ascii="Times New Roman" w:hAnsi="Times New Roman" w:eastAsiaTheme="minorEastAsia"/>
          <w:sz w:val="24"/>
        </w:rPr>
        <w:instrText xml:space="preserve"> ADDIN ZOTERO_ITEM CSL_CITATION {"citationID":"tpEd5gy1","properties":{"unsorted":false,"formattedCitation":"(Ward et al., 2022)","plainCitation":"(Ward et al., 2022)","noteIndex":0},"citationItems":[{"id":506,"uris":["http://zotero.org/users/17543282/items/SMWXUI78"],"itemData":{"id":506,"type":"article-journal","abstract":"Due to climate change, megafires are increasingly common and have sudden, extensive impacts on many species over vast areas, leaving decision makers uncertain about how best to priori</w:instrText>
      </w:r>
      <w:r>
        <w:rPr>
          <w:rFonts w:hint="eastAsia" w:ascii="Times New Roman" w:hAnsi="Times New Roman" w:eastAsiaTheme="minorEastAsia"/>
          <w:sz w:val="24"/>
        </w:rPr>
        <w:instrText xml:space="preserve">tize recovery. We devised a decision‐support framework to prioritize conservation actions to improve species outcomes immediately after a megafire. Complementary locations are selected to extend recovery actions across all fire‐affected species’ habitats.</w:instrText>
      </w:r>
      <w:r>
        <w:rPr>
          <w:rFonts w:ascii="Times New Roman" w:hAnsi="Times New Roman" w:eastAsiaTheme="minorEastAsia"/>
          <w:sz w:val="24"/>
        </w:rPr>
        <w:instrText xml:space="preserve"> We applied our method to areas burned in the 2019−2020 Australian megafires and assessed its conservation advantages by comparing our results with outcomes of a site</w:instrText>
      </w:r>
      <w:r>
        <w:rPr>
          <w:rFonts w:hint="eastAsia" w:ascii="Times New Roman" w:hAnsi="Times New Roman" w:eastAsiaTheme="minorEastAsia"/>
          <w:sz w:val="24"/>
        </w:rPr>
        <w:instrText xml:space="preserve">‐</w:instrText>
      </w:r>
      <w:r>
        <w:rPr>
          <w:rFonts w:ascii="Times New Roman" w:hAnsi="Times New Roman" w:eastAsiaTheme="minorEastAsia"/>
          <w:sz w:val="24"/>
        </w:rPr>
        <w:instrText xml:space="preserve">richness approach (i.e., identifying areas that cost</w:instrText>
      </w:r>
      <w:r>
        <w:rPr>
          <w:rFonts w:hint="eastAsia" w:ascii="Times New Roman" w:hAnsi="Times New Roman" w:eastAsiaTheme="minorEastAsia"/>
          <w:sz w:val="24"/>
        </w:rPr>
        <w:instrText xml:space="preserve">‐</w:instrText>
      </w:r>
      <w:r>
        <w:rPr>
          <w:rFonts w:ascii="Times New Roman" w:hAnsi="Times New Roman" w:eastAsiaTheme="minorEastAsia"/>
          <w:sz w:val="24"/>
        </w:rPr>
        <w:instrText xml:space="preserve">effectively recover the most species in any one location). We found that 290 threatened species were likely severely affected and will require immediate conservation action to prevent population declines and possible extirpation. We identified 179 subregions, mostly in southeastern Austral</w:instrText>
      </w:r>
      <w:r>
        <w:rPr>
          <w:rFonts w:hint="eastAsia" w:ascii="Times New Roman" w:hAnsi="Times New Roman" w:eastAsiaTheme="minorEastAsia"/>
          <w:sz w:val="24"/>
        </w:rPr>
        <w:instrText xml:space="preserve">ia, that are key locations to extend actions that benefit multiple species. Cost savings were over AU$300 million to reduce 95% of threats across all species. Our complementarity‐based prioritization also spread postfire management actions across a wider proportion of the study area compared with the site‐richness method (43% vs. 37% of the landscape managed, respectively) and put more of each species’ range under management (average 90% vs. 79% of every species’ habitat managed). In addition to wildfire </w:instrText>
      </w:r>
      <w:r>
        <w:rPr>
          <w:rFonts w:ascii="Times New Roman" w:hAnsi="Times New Roman" w:eastAsiaTheme="minorEastAsia"/>
          <w:sz w:val="24"/>
        </w:rPr>
        <w:instrText xml:space="preserve">response, our framework can be used to prioritize conservation actions that will best mitigate threats affecting species following other extreme environmental events (e.g., floods and drought).","container-title":"Conservation Biology","DOI":"10.1111/cobi.13936","journalAbbreviation":"Conservation Biology","source":"ResearchGate","title":"How to prioritize species recovery after a megafire","volume":"36","author":[{"family":"Ward","given":"Michelle"},{"family":"Carwardine","given":"Josie"},{"family":"Watson","given":"James"},{"family":"Pintor","given":"Anna"},{"family":"Stuart","given":"Stephanie"},{"family":"Possingham","given":"Hugh"},{"family":"Rhodes","given":"Jonathan"},{"family":"Carey","given":"Alex"},{"family":"Auerbach","given":"Nancy"},{"family":"Reside","given":"April"},{"family":"Yong","given":"Chuanji"},{"family":"Tulloch","given":"Ayesha"}],"issued":{"date-parts":[["2022",8,15]]}}}],"schema":"https://github.com/citation-style-language/schema/raw/master/csl-citation.json"} </w:instrText>
      </w:r>
      <w:r>
        <w:rPr>
          <w:rFonts w:ascii="Times New Roman" w:hAnsi="Times New Roman" w:eastAsiaTheme="minorEastAsia"/>
          <w:sz w:val="24"/>
        </w:rPr>
        <w:fldChar w:fldCharType="separate"/>
      </w:r>
      <w:r>
        <w:rPr>
          <w:rFonts w:ascii="Times New Roman" w:hAnsi="Times New Roman"/>
          <w:sz w:val="24"/>
        </w:rPr>
        <w:t>(Ward et al., 2022)</w:t>
      </w:r>
      <w:r>
        <w:rPr>
          <w:rFonts w:ascii="Times New Roman" w:hAnsi="Times New Roman" w:eastAsiaTheme="minorEastAsia"/>
          <w:sz w:val="24"/>
        </w:rPr>
        <w:fldChar w:fldCharType="end"/>
      </w:r>
      <w:r>
        <w:rPr>
          <w:rFonts w:ascii="Times New Roman" w:hAnsi="Times New Roman" w:eastAsiaTheme="minorEastAsia"/>
          <w:sz w:val="24"/>
        </w:rPr>
        <w:t xml:space="preserve">. For severely impacted </w:t>
      </w:r>
      <w:r>
        <w:rPr>
          <w:rFonts w:hint="eastAsia" w:ascii="Times New Roman" w:hAnsi="Times New Roman" w:eastAsiaTheme="minorEastAsia"/>
          <w:sz w:val="24"/>
        </w:rPr>
        <w:t>amphibian and reptile</w:t>
      </w:r>
      <w:r>
        <w:rPr>
          <w:rFonts w:ascii="Times New Roman" w:hAnsi="Times New Roman" w:eastAsiaTheme="minorEastAsia"/>
          <w:sz w:val="24"/>
        </w:rPr>
        <w:t>, immediate intervention must prioritize the physical stabilization and creation of micro-refugia within low-intensity burn islands. Because reptile and amphibian exhibit sharp thresholds tied to microclimatic and thermal shifts, targeted actions like retaining unburned coarse woody debris, re-establishing canopy shading, and securing localized water access are critical to mitigating post-fire desiccation</w:t>
      </w:r>
      <w:r>
        <w:rPr>
          <w:rFonts w:ascii="Times New Roman" w:hAnsi="Times New Roman" w:eastAsiaTheme="minorEastAsia"/>
          <w:sz w:val="24"/>
        </w:rPr>
        <w:fldChar w:fldCharType="begin"/>
      </w:r>
      <w:r>
        <w:rPr>
          <w:rFonts w:ascii="Times New Roman" w:hAnsi="Times New Roman" w:eastAsiaTheme="minorEastAsia"/>
          <w:sz w:val="24"/>
        </w:rPr>
        <w:instrText xml:space="preserve"> ADDIN ZOTERO_ITEM CSL_CITATION {"citationID":"uXj6EogI","properties":{"unsorted":false,"formattedCitation":"(Pausas &amp; Parr, 2018)","plainCitation":"(Pausas &amp; Parr, 2018)","noteIndex":0},"citationItems":[{"id":498,"uris":["http://zotero.org/users/17543282/items/YU46D6C9"],"itemData":{"id":498,"type":"article-journal","abstract":"Wildfires underpin the dynamics and diversity of many ecosystems worldwide, and plants show a plethora of adaptive traits for persisting recurrent fires. Many fire-prone ecosystems also harbor a rich fauna; however, knowledge about adaptive traits to fire in animals remains poorly explored. We review existing literature and suggest that fire is an important evolutionary driver for animal diversity because (1) many animals are present in fire-prone landscapes and may have structural and phenotypic characters that contribute to adaptation to these open landscapes; and (2) in some cases, animals from fire-prone ecosystems may show specific fire adaptations. While there is limited evidence on morphological fire adaptations in animals, there is evidence suggesting that different behaviors might provide a rich source of putative fire adaptations; this is because, in contrast to plants, most animals are mobile, unitary organisms, have reduced survival when directly burnt by fire and can move away from the fire. We call for research on fire adaptations (morphological, behavioral, and physiological) in animals, and emphasize that in the animal kingdom many fire adaptations are likely to be behavioral. While it may be difficult to discern these adaptations from other animal behaviors, making this distinction is fundamental if we want to understand the role of fire in shaping biodiversity. Developing this understanding is critical to how we view and manage our ecosystems in the face of current global and fire regime changes.","container-title":"Evolutionary Ecology","DOI":"10.1007/s10682-018-9927-6","journalAbbreviation":"Evolutionary Ecology","source":"ResearchGate","title":"Towards an understanding of the evolutionary role of fire in animals","volume":"32","author":[{"family":"Pausas","given":"Juli"},{"family":"Parr","given":"Catherine"}],"issued":{"date-parts":[["2018",6,1]]}}}],"schema":"https://github.com/citation-style-language/schema/raw/master/csl-citation.json"} </w:instrText>
      </w:r>
      <w:r>
        <w:rPr>
          <w:rFonts w:ascii="Times New Roman" w:hAnsi="Times New Roman" w:eastAsiaTheme="minorEastAsia"/>
          <w:sz w:val="24"/>
        </w:rPr>
        <w:fldChar w:fldCharType="separate"/>
      </w:r>
      <w:r>
        <w:rPr>
          <w:rFonts w:ascii="Times New Roman" w:hAnsi="Times New Roman"/>
          <w:sz w:val="24"/>
        </w:rPr>
        <w:t>(Pausas &amp; Parr, 2018)</w:t>
      </w:r>
      <w:r>
        <w:rPr>
          <w:rFonts w:ascii="Times New Roman" w:hAnsi="Times New Roman" w:eastAsiaTheme="minorEastAsia"/>
          <w:sz w:val="24"/>
        </w:rPr>
        <w:fldChar w:fldCharType="end"/>
      </w:r>
      <w:r>
        <w:rPr>
          <w:rFonts w:ascii="Times New Roman" w:hAnsi="Times New Roman" w:eastAsiaTheme="minorEastAsia"/>
          <w:sz w:val="24"/>
        </w:rPr>
        <w:t>. Concurrently, managing mammalian responses requires designating dynamic, non-intervention buffer zones along fire boundaries where opportunistic species congregate. Restricting anthropogenic disruption and salvage logging in these peripheral ecotones preserves vital migration corridors and protects the influx of highly nutritious herbaceous plants that emerge after litter removal</w:t>
      </w:r>
      <w:r>
        <w:rPr>
          <w:rFonts w:ascii="Times New Roman" w:hAnsi="Times New Roman" w:eastAsiaTheme="minorEastAsia"/>
          <w:sz w:val="24"/>
        </w:rPr>
        <w:fldChar w:fldCharType="begin"/>
      </w:r>
      <w:r>
        <w:rPr>
          <w:rFonts w:ascii="Times New Roman" w:hAnsi="Times New Roman" w:eastAsiaTheme="minorEastAsia"/>
          <w:sz w:val="24"/>
        </w:rPr>
        <w:instrText xml:space="preserve"> ADDIN ZOTERO_ITEM CSL_CITATION {"citationID":"oLXVmoJS","properties":{"unsorted":false,"formattedCitation":"(Archibald et al., 2019)","plainCitation":"(Archibald et al., 2019)","noteIndex":0},"citationItems":[{"id":508,"uris":["http://zotero.org/users/17543282/items/KWRRC4K8"],"itemData":{"id":508,"type":"article-journal","abstract":"Fire and herbivory both remove aboveground biomass. Environmental factors determine the type and intensity of these consumers globally, but the traits of plants can also alter their propensity to burn and the degree to which they are eaten. To understand plant life-history strategies associated with fire and herbivory we need to describe both response and effect functional traits, and how they sort within communities, along resource gradients, and across evolutionary timescales. Fire and herbivore functional traits are generally considered separately, but there are advances made in understanding fire that relate to herbivory, and vice versa. Moreover, fire and herbivory interact: the presence of one consumer affects the type and intensity of the other. Here, we present a unifying conceptual framework to understand plant strategies that enable tolerance and persistence to fire and herbivory. Using grasses as an example, we discuss how flammability and fire tolerance, palatability, and grazing tolerance traits might organize themselves in ecosystems exposed to these consumers, and how these traits might have evolved with reference to other strong selective processes, like aridity. Our framework can be used to predict both the diversity of life-history strategies and plant species diversity under different consumer regimes.","container-title":"New Phytologist","DOI":"10.1111/nph.15986","ISSN":"1469-8137","issue":"4","language":"en","note":"_eprint: https://nph.onlinelibrary.wiley.com/doi/pdf/10.1111/nph.15986","page":"1490-1503","source":"Wiley Online Library","title":"A unified framework for plant life-history strategies shaped by fire and herbivory","volume":"224","author":[{"family":"Archibald","given":"Sally"},{"family":"Hempson","given":"Gareth P."},{"family":"Lehmann","given":"Caroline"}],"issued":{"date-parts":[["2019"]]}}}],"schema":"https://github.com/citation-style-language/schema/raw/master/csl-citation.json"} </w:instrText>
      </w:r>
      <w:r>
        <w:rPr>
          <w:rFonts w:ascii="Times New Roman" w:hAnsi="Times New Roman" w:eastAsiaTheme="minorEastAsia"/>
          <w:sz w:val="24"/>
        </w:rPr>
        <w:fldChar w:fldCharType="separate"/>
      </w:r>
      <w:r>
        <w:rPr>
          <w:rFonts w:ascii="Times New Roman" w:hAnsi="Times New Roman"/>
          <w:sz w:val="24"/>
        </w:rPr>
        <w:t>(Archibald et al., 2019)</w:t>
      </w:r>
      <w:r>
        <w:rPr>
          <w:rFonts w:ascii="Times New Roman" w:hAnsi="Times New Roman" w:eastAsiaTheme="minorEastAsia"/>
          <w:sz w:val="24"/>
        </w:rPr>
        <w:fldChar w:fldCharType="end"/>
      </w:r>
      <w:r>
        <w:rPr>
          <w:rFonts w:ascii="Times New Roman" w:hAnsi="Times New Roman" w:eastAsiaTheme="minorEastAsia"/>
          <w:sz w:val="24"/>
        </w:rPr>
        <w:t xml:space="preserve">, thereby supporting the natural behavioral plasticity and energetic requirements of mobile wildlife. These localized efforts must be contextualized within broader historical fire </w:t>
      </w:r>
      <w:r>
        <w:rPr>
          <w:rFonts w:hint="eastAsia" w:ascii="Times New Roman" w:hAnsi="Times New Roman" w:eastAsiaTheme="minorEastAsia"/>
          <w:sz w:val="24"/>
        </w:rPr>
        <w:t>frequency</w:t>
      </w:r>
      <w:r>
        <w:rPr>
          <w:rFonts w:ascii="Times New Roman" w:hAnsi="Times New Roman" w:eastAsiaTheme="minorEastAsia"/>
          <w:sz w:val="24"/>
        </w:rPr>
        <w:t xml:space="preserve"> analyses to ensure that contemporary interventions are ecologically aligned with long-term landscape evolutionary pathways.</w:t>
      </w:r>
    </w:p>
    <w:p w14:paraId="304BABB3">
      <w:pPr>
        <w:pStyle w:val="48"/>
        <w:spacing w:before="240" w:line="240" w:lineRule="auto"/>
        <w:ind w:left="0"/>
        <w:rPr>
          <w:rFonts w:ascii="Times New Roman" w:hAnsi="Times New Roman" w:eastAsiaTheme="minorEastAsia"/>
          <w:i w:val="0"/>
          <w:iCs/>
          <w:sz w:val="24"/>
          <w:szCs w:val="24"/>
          <w:lang w:eastAsia="zh-CN"/>
        </w:rPr>
      </w:pPr>
      <w:r>
        <w:rPr>
          <w:rFonts w:ascii="Times New Roman" w:hAnsi="Times New Roman" w:eastAsiaTheme="minorEastAsia"/>
          <w:i w:val="0"/>
          <w:iCs/>
          <w:sz w:val="24"/>
          <w:szCs w:val="24"/>
          <w:lang w:eastAsia="zh-CN"/>
        </w:rPr>
        <w:t>4.</w:t>
      </w:r>
      <w:r>
        <w:rPr>
          <w:rFonts w:hint="eastAsia" w:ascii="Times New Roman" w:hAnsi="Times New Roman" w:eastAsiaTheme="minorEastAsia"/>
          <w:i w:val="0"/>
          <w:iCs/>
          <w:sz w:val="24"/>
          <w:szCs w:val="24"/>
          <w:lang w:eastAsia="zh-CN"/>
        </w:rPr>
        <w:t>4</w:t>
      </w:r>
      <w:r>
        <w:rPr>
          <w:rFonts w:ascii="Times New Roman" w:hAnsi="Times New Roman"/>
          <w:i w:val="0"/>
          <w:iCs/>
          <w:sz w:val="24"/>
          <w:szCs w:val="24"/>
        </w:rPr>
        <w:t xml:space="preserve"> </w:t>
      </w:r>
      <w:r>
        <w:rPr>
          <w:rFonts w:ascii="Times New Roman" w:hAnsi="Times New Roman" w:eastAsiaTheme="minorEastAsia"/>
          <w:i w:val="0"/>
          <w:iCs/>
          <w:sz w:val="24"/>
          <w:szCs w:val="24"/>
          <w:lang w:eastAsia="zh-CN"/>
        </w:rPr>
        <w:t>Methodological Limitations and Future Directions</w:t>
      </w:r>
    </w:p>
    <w:p w14:paraId="48E91B93">
      <w:pPr>
        <w:pStyle w:val="33"/>
        <w:spacing w:line="240" w:lineRule="auto"/>
        <w:ind w:left="0" w:firstLine="0"/>
        <w:rPr>
          <w:rFonts w:ascii="Times New Roman" w:hAnsi="Times New Roman" w:eastAsiaTheme="minorEastAsia"/>
          <w:sz w:val="24"/>
          <w:szCs w:val="24"/>
          <w:lang w:eastAsia="zh-CN"/>
        </w:rPr>
      </w:pPr>
      <w:r>
        <w:rPr>
          <w:rFonts w:ascii="Times New Roman" w:hAnsi="Times New Roman" w:eastAsiaTheme="minorEastAsia"/>
          <w:sz w:val="24"/>
          <w:szCs w:val="24"/>
          <w:lang w:eastAsia="zh-CN"/>
        </w:rPr>
        <w:t>Although the framework of this study has identified changes in biodiversity under fire conditions, there remain several inherent academic limitations that require further exploration and refinement in future research.</w:t>
      </w:r>
    </w:p>
    <w:p w14:paraId="31D3AD35">
      <w:pPr>
        <w:pStyle w:val="33"/>
        <w:spacing w:line="240" w:lineRule="auto"/>
        <w:ind w:left="0" w:firstLine="0"/>
        <w:rPr>
          <w:rFonts w:ascii="Times New Roman" w:hAnsi="Times New Roman" w:eastAsiaTheme="minorEastAsia"/>
          <w:sz w:val="24"/>
          <w:szCs w:val="24"/>
          <w:lang w:eastAsia="zh-CN"/>
        </w:rPr>
      </w:pPr>
      <w:r>
        <w:rPr>
          <w:rFonts w:ascii="Times New Roman" w:hAnsi="Times New Roman" w:eastAsiaTheme="minorEastAsia"/>
          <w:sz w:val="24"/>
          <w:szCs w:val="24"/>
          <w:lang w:eastAsia="zh-CN"/>
        </w:rPr>
        <w:t>Firstly, the species distribution data were sourced from the Global Biodiversity Information Facility (GBIF). As a typical big data platform, GBIF exhibits significant spatial sampling bias, which may lead to a degree of uncertainty in the MaxEnt predictions for remote, uninhabited areas. Secondly, whilst 10-metre resolution Sentinel-2 imagery performs excellently at the regional scale, for small-bodied terrestrial vertebrates with extremely stringent microclimatic requirements, a 10-metre pixel still encompasses a significant degree of microhabitat heterogeneity. Current remote sensing resolution remains insufficient to fully capture these microrefugia, thereby underestimating, to some extent, the species’ in situ survival capacity during fires. Finally, this study relies primarily on extrapolations from macroecological models and satellite remote sensing indices, lacking immediate post-fire field surveys and long-term fixed-point monitoring; consequently, it is unable to directly verify species’ actual mortality rates, post-fire migration routes, and behavioral-physiological responses at the micro-level</w:t>
      </w:r>
      <w:r>
        <w:rPr>
          <w:rFonts w:hint="eastAsia" w:ascii="Times New Roman" w:hAnsi="Times New Roman" w:eastAsiaTheme="minorEastAsia"/>
          <w:sz w:val="24"/>
          <w:szCs w:val="24"/>
          <w:lang w:eastAsia="zh-CN"/>
        </w:rPr>
        <w:t>,</w:t>
      </w:r>
      <w:r>
        <w:t xml:space="preserve"> </w:t>
      </w:r>
      <w:r>
        <w:rPr>
          <w:rFonts w:ascii="Times New Roman" w:hAnsi="Times New Roman" w:eastAsiaTheme="minorEastAsia"/>
          <w:sz w:val="24"/>
          <w:szCs w:val="24"/>
          <w:lang w:eastAsia="zh-CN"/>
        </w:rPr>
        <w:t>the assumption that bioclimatic factors remain unchanged for a prolonged period following a disaster also introduces uncertainty into the results.</w:t>
      </w:r>
    </w:p>
    <w:p w14:paraId="500EABC9">
      <w:pPr>
        <w:pStyle w:val="33"/>
        <w:spacing w:line="240" w:lineRule="auto"/>
        <w:ind w:left="0" w:firstLine="0"/>
        <w:rPr>
          <w:rFonts w:ascii="Times New Roman" w:hAnsi="Times New Roman" w:eastAsiaTheme="minorEastAsia"/>
          <w:sz w:val="24"/>
          <w:szCs w:val="24"/>
          <w:lang w:eastAsia="zh-CN"/>
        </w:rPr>
      </w:pPr>
      <w:r>
        <w:rPr>
          <w:rFonts w:ascii="Times New Roman" w:hAnsi="Times New Roman" w:eastAsiaTheme="minorEastAsia"/>
          <w:sz w:val="24"/>
          <w:szCs w:val="24"/>
          <w:lang w:eastAsia="zh-CN"/>
        </w:rPr>
        <w:t>Future research could be systematically improved through the following approaches: (1) Integrating data from multiple citizen science platforms for cross-validation, to minimi</w:t>
      </w:r>
      <w:r>
        <w:rPr>
          <w:rFonts w:hint="eastAsia" w:ascii="Times New Roman" w:hAnsi="Times New Roman" w:eastAsiaTheme="minorEastAsia"/>
          <w:sz w:val="24"/>
          <w:szCs w:val="24"/>
          <w:lang w:eastAsia="zh-CN"/>
        </w:rPr>
        <w:t>z</w:t>
      </w:r>
      <w:r>
        <w:rPr>
          <w:rFonts w:ascii="Times New Roman" w:hAnsi="Times New Roman" w:eastAsiaTheme="minorEastAsia"/>
          <w:sz w:val="24"/>
          <w:szCs w:val="24"/>
          <w:lang w:eastAsia="zh-CN"/>
        </w:rPr>
        <w:t>e spatial heterogeneity noise in GBIF data; (2) Coupling higher-resolution commercial satellite constellation data or utili</w:t>
      </w:r>
      <w:r>
        <w:rPr>
          <w:rFonts w:hint="eastAsia" w:ascii="Times New Roman" w:hAnsi="Times New Roman" w:eastAsiaTheme="minorEastAsia"/>
          <w:sz w:val="24"/>
          <w:szCs w:val="24"/>
          <w:lang w:eastAsia="zh-CN"/>
        </w:rPr>
        <w:t>z</w:t>
      </w:r>
      <w:r>
        <w:rPr>
          <w:rFonts w:ascii="Times New Roman" w:hAnsi="Times New Roman" w:eastAsiaTheme="minorEastAsia"/>
          <w:sz w:val="24"/>
          <w:szCs w:val="24"/>
          <w:lang w:eastAsia="zh-CN"/>
        </w:rPr>
        <w:t>ing unmanned aerial vehicles (UAVs) equipped with multispectral and LiDAR sensors to conduct high-resolution three-dimensional habitat interpretation of typical fire patches, thereby directly quantifying the distribution of vertical structure and micro-refuges; (3) Establish an integrated “air-space-ground” monitoring network, deploying large-scale arrays of camera traps, environmental DNA (eDNA) sampling of water and soil, and acoustic monitoring equipment immediately following a fire to obtain the most up-to-date field survey data, thereby enabling precise empirical calibration of multi-scale spatial modelling.</w:t>
      </w:r>
    </w:p>
    <w:p w14:paraId="718123AB">
      <w:pPr>
        <w:pStyle w:val="33"/>
        <w:spacing w:line="240" w:lineRule="auto"/>
        <w:ind w:left="0" w:firstLine="0"/>
        <w:rPr>
          <w:rFonts w:ascii="Times New Roman" w:hAnsi="Times New Roman" w:eastAsiaTheme="minorEastAsia"/>
          <w:sz w:val="24"/>
          <w:szCs w:val="24"/>
          <w:lang w:eastAsia="zh-CN"/>
        </w:rPr>
      </w:pPr>
      <w:r>
        <w:rPr>
          <w:rFonts w:ascii="Times New Roman" w:hAnsi="Times New Roman" w:eastAsiaTheme="minorEastAsia"/>
          <w:sz w:val="24"/>
          <w:szCs w:val="24"/>
          <w:lang w:eastAsia="zh-CN"/>
        </w:rPr>
        <w:t>It must be emphasized that, despite the aforementioned limitations, the macro-trends, ecological tipping points and spatial polarization patterns identified in this study retain immense and irreplaceable conservation value. Through rigorous screening for variable multicollinearity and statistical tests of multiple models, the taxon-specific thresholds and spatially non-stationary driving mechanisms revealed in this paper are statistically highly significant and robust. At the macro-scale, this study provides critically important spatial insights and scientific evidence for post-disaster wildlife rescue, the delineation of differentiated ecological red lines, and adaptive fire management within the Mediterranean climate region of Los Angeles.</w:t>
      </w:r>
    </w:p>
    <w:p w14:paraId="3351018C">
      <w:pPr>
        <w:pStyle w:val="47"/>
        <w:spacing w:line="240" w:lineRule="auto"/>
        <w:ind w:left="0"/>
        <w:rPr>
          <w:rFonts w:ascii="Times New Roman" w:hAnsi="Times New Roman"/>
          <w:szCs w:val="24"/>
        </w:rPr>
      </w:pPr>
      <w:bookmarkStart w:id="5" w:name="_Hlk181004646"/>
      <w:r>
        <w:rPr>
          <w:rFonts w:ascii="Times New Roman" w:hAnsi="Times New Roman"/>
          <w:szCs w:val="24"/>
        </w:rPr>
        <w:t>5.Conclusion</w:t>
      </w:r>
    </w:p>
    <w:p w14:paraId="240FD643">
      <w:pPr>
        <w:pStyle w:val="32"/>
        <w:spacing w:after="240" w:line="240" w:lineRule="auto"/>
        <w:ind w:left="0"/>
        <w:rPr>
          <w:rFonts w:ascii="Times New Roman" w:hAnsi="Times New Roman" w:eastAsiaTheme="minorEastAsia"/>
          <w:sz w:val="24"/>
          <w:szCs w:val="24"/>
          <w:lang w:eastAsia="zh-CN"/>
        </w:rPr>
      </w:pPr>
      <w:r>
        <w:rPr>
          <w:rFonts w:ascii="Times New Roman" w:hAnsi="Times New Roman" w:eastAsiaTheme="minorEastAsia"/>
          <w:sz w:val="24"/>
          <w:szCs w:val="24"/>
          <w:lang w:eastAsia="zh-CN"/>
        </w:rPr>
        <w:t>This study successfully established and applied an integrated research framework comprising high-precision remote sensing extraction, maximum entropy habitat evolution mapping, and spatial econometric analysis of non-linearity and non-stationarity, systematically elucidating the macro-spatial restructuring effects of the 2025 Los Angeles wildfires on terrestrial vertebrate biodiversity. The study confirms that the impact of megafires on biodiversity is not homogeneous, but rather depends on the physiological and behavioral characteristics of species taxa, as well as the spatial topological intensity of the fire. The vulnerability of amphibian and reptile, coupled with their extremely low ecological thresholds, highlights the urgency of early post-disaster intervention, whilst the complex responses of mammal and the positive coefficient patches south of the Palisades strongly support the role of moderate burning in promoting the creation of habitats for certain species and heterogeneous habitats. The non-linear tipping points and spatial polari</w:t>
      </w:r>
      <w:r>
        <w:rPr>
          <w:rFonts w:hint="eastAsia" w:ascii="Times New Roman" w:hAnsi="Times New Roman" w:eastAsiaTheme="minorEastAsia"/>
          <w:sz w:val="24"/>
          <w:szCs w:val="24"/>
          <w:lang w:eastAsia="zh-CN"/>
        </w:rPr>
        <w:t>z</w:t>
      </w:r>
      <w:r>
        <w:rPr>
          <w:rFonts w:ascii="Times New Roman" w:hAnsi="Times New Roman" w:eastAsiaTheme="minorEastAsia"/>
          <w:sz w:val="24"/>
          <w:szCs w:val="24"/>
          <w:lang w:eastAsia="zh-CN"/>
        </w:rPr>
        <w:t>ation patterns revealed in this study demonstrate the inevitability of a shift from traditional, mechani</w:t>
      </w:r>
      <w:r>
        <w:rPr>
          <w:rFonts w:hint="eastAsia" w:ascii="Times New Roman" w:hAnsi="Times New Roman" w:eastAsiaTheme="minorEastAsia"/>
          <w:sz w:val="24"/>
          <w:szCs w:val="24"/>
          <w:lang w:eastAsia="zh-CN"/>
        </w:rPr>
        <w:t>z</w:t>
      </w:r>
      <w:r>
        <w:rPr>
          <w:rFonts w:ascii="Times New Roman" w:hAnsi="Times New Roman" w:eastAsiaTheme="minorEastAsia"/>
          <w:sz w:val="24"/>
          <w:szCs w:val="24"/>
          <w:lang w:eastAsia="zh-CN"/>
        </w:rPr>
        <w:t>ed, area-wide fire suppression towards a spatially differentiated, dynamic and adaptive fire management paradigm. The differentiated conservation framework proposed in this study theoretically enriches the empirical body of knowledge on spatial non-stationarity in fire ecology, whilst in practice delineating precise spatial coordinates for post-disaster ecological restoration in highly fragmented metropolitan areas, thereby holding significant value for macroecological applications and policy reference.</w:t>
      </w:r>
    </w:p>
    <w:p w14:paraId="2596CA50">
      <w:pPr>
        <w:pStyle w:val="32"/>
        <w:spacing w:after="240" w:line="240" w:lineRule="auto"/>
        <w:ind w:left="0"/>
        <w:rPr>
          <w:rFonts w:ascii="Times New Roman" w:hAnsi="Times New Roman" w:eastAsiaTheme="minorEastAsia"/>
          <w:b/>
          <w:bCs/>
          <w:sz w:val="24"/>
          <w:szCs w:val="24"/>
          <w:lang w:eastAsia="zh-CN"/>
        </w:rPr>
      </w:pPr>
      <w:r>
        <w:rPr>
          <w:rFonts w:hint="eastAsia" w:ascii="Times New Roman" w:hAnsi="Times New Roman" w:eastAsiaTheme="minorEastAsia"/>
          <w:b/>
          <w:bCs/>
          <w:sz w:val="24"/>
          <w:szCs w:val="24"/>
          <w:lang w:eastAsia="zh-CN"/>
        </w:rPr>
        <w:t>Acknowledgement</w:t>
      </w:r>
    </w:p>
    <w:p w14:paraId="3D6B78F0">
      <w:pPr>
        <w:pStyle w:val="32"/>
        <w:spacing w:after="240" w:line="240" w:lineRule="auto"/>
        <w:ind w:left="0"/>
        <w:rPr>
          <w:rFonts w:ascii="Times New Roman" w:hAnsi="Times New Roman" w:eastAsiaTheme="minorEastAsia"/>
          <w:sz w:val="24"/>
          <w:szCs w:val="24"/>
          <w:lang w:eastAsia="zh-CN"/>
        </w:rPr>
      </w:pPr>
      <w:r>
        <w:rPr>
          <w:rFonts w:ascii="Times New Roman" w:hAnsi="Times New Roman" w:eastAsiaTheme="minorEastAsia"/>
          <w:sz w:val="24"/>
          <w:szCs w:val="24"/>
          <w:lang w:eastAsia="zh-CN"/>
        </w:rPr>
        <w:t>We would like to thank Jeff and other ecologists for their contributions to improving the quality of this article</w:t>
      </w:r>
      <w:r>
        <w:rPr>
          <w:rFonts w:hint="eastAsia" w:ascii="Times New Roman" w:hAnsi="Times New Roman" w:eastAsiaTheme="minorEastAsia"/>
          <w:sz w:val="24"/>
          <w:szCs w:val="24"/>
          <w:lang w:eastAsia="zh-CN"/>
        </w:rPr>
        <w:t xml:space="preserve">; </w:t>
      </w:r>
      <w:r>
        <w:rPr>
          <w:rFonts w:ascii="Times New Roman" w:hAnsi="Times New Roman" w:eastAsiaTheme="minorEastAsia"/>
          <w:sz w:val="24"/>
          <w:szCs w:val="24"/>
          <w:lang w:eastAsia="zh-CN"/>
        </w:rPr>
        <w:t>This research was funded by the Intergovernmental International Science and Technology Innovation Cooperation Program Under National Key Research and Development Plan (2024YFE0198600)</w:t>
      </w:r>
    </w:p>
    <w:p w14:paraId="56EF5D5B">
      <w:pPr>
        <w:pStyle w:val="32"/>
        <w:spacing w:after="240" w:line="240" w:lineRule="auto"/>
        <w:ind w:left="0"/>
        <w:rPr>
          <w:rFonts w:ascii="Times New Roman" w:hAnsi="Times New Roman" w:eastAsiaTheme="minorEastAsia"/>
          <w:b/>
          <w:bCs/>
          <w:sz w:val="24"/>
          <w:szCs w:val="24"/>
          <w:lang w:eastAsia="zh-CN"/>
        </w:rPr>
      </w:pPr>
      <w:r>
        <w:rPr>
          <w:rFonts w:ascii="Times New Roman" w:hAnsi="Times New Roman" w:eastAsiaTheme="minorEastAsia"/>
          <w:b/>
          <w:bCs/>
          <w:sz w:val="24"/>
          <w:szCs w:val="24"/>
          <w:lang w:eastAsia="zh-CN"/>
        </w:rPr>
        <w:t>Author Contributions</w:t>
      </w:r>
    </w:p>
    <w:p w14:paraId="5CE3DB81">
      <w:pPr>
        <w:pStyle w:val="32"/>
        <w:spacing w:after="240" w:line="240" w:lineRule="auto"/>
        <w:ind w:left="0"/>
        <w:rPr>
          <w:rFonts w:ascii="Times New Roman" w:hAnsi="Times New Roman" w:eastAsiaTheme="minorEastAsia"/>
          <w:sz w:val="24"/>
          <w:szCs w:val="24"/>
          <w:lang w:eastAsia="zh-CN"/>
        </w:rPr>
      </w:pPr>
      <w:r>
        <w:rPr>
          <w:rFonts w:ascii="Times New Roman" w:hAnsi="Times New Roman" w:eastAsiaTheme="minorEastAsia"/>
          <w:sz w:val="24"/>
          <w:szCs w:val="24"/>
          <w:lang w:eastAsia="zh-CN"/>
        </w:rPr>
        <w:t>Conceptualization: Sisi Chen, Zengrui Tian, Junyu Deng and Jinsong Deng; Data curation: Sisi Chen, Zengrui Tian, Junyu Deng and Zhiyun You; Formal analysis: Sisi Chen, Zengrui Tian, Zhijun You, Junyu Deng and Fanghong Ye; Funding acquisition: Jinsong Deng; Methodology: Sisi Chen and Zengrui Tian; Supervision: Sisi Chen, Shanshan Lv and Junyu Deng; Visualization: Sisi Chen and Junyu Deng; Writing – original draft: Sisi Chen, Junyu Deng and Yun He; Writing – review and editing: Sisi Chen and Zengrui Tian.</w:t>
      </w:r>
    </w:p>
    <w:p w14:paraId="0CD6FBA8">
      <w:pPr>
        <w:adjustRightInd w:val="0"/>
        <w:snapToGrid w:val="0"/>
        <w:spacing w:after="240" w:line="240" w:lineRule="auto"/>
        <w:rPr>
          <w:rFonts w:ascii="Times New Roman" w:hAnsi="Times New Roman" w:eastAsia="等线"/>
          <w:b/>
          <w:bCs/>
          <w:snapToGrid w:val="0"/>
          <w:sz w:val="24"/>
          <w:szCs w:val="24"/>
          <w:lang w:bidi="en-US"/>
        </w:rPr>
      </w:pPr>
      <w:r>
        <w:rPr>
          <w:rFonts w:ascii="Times New Roman" w:hAnsi="Times New Roman" w:eastAsia="等线"/>
          <w:b/>
          <w:bCs/>
          <w:snapToGrid w:val="0"/>
          <w:sz w:val="24"/>
          <w:szCs w:val="24"/>
          <w:lang w:bidi="en-US"/>
        </w:rPr>
        <w:t>Data Availability Statement</w:t>
      </w:r>
    </w:p>
    <w:p w14:paraId="2E811C9F">
      <w:pPr>
        <w:adjustRightInd w:val="0"/>
        <w:snapToGrid w:val="0"/>
        <w:spacing w:line="240" w:lineRule="auto"/>
        <w:rPr>
          <w:rFonts w:ascii="Times New Roman" w:hAnsi="Times New Roman" w:eastAsia="等线"/>
          <w:snapToGrid w:val="0"/>
          <w:sz w:val="24"/>
          <w:szCs w:val="24"/>
          <w:lang w:bidi="en-US"/>
        </w:rPr>
      </w:pPr>
      <w:r>
        <w:rPr>
          <w:rFonts w:ascii="Times New Roman" w:hAnsi="Times New Roman" w:eastAsia="等线"/>
          <w:snapToGrid w:val="0"/>
          <w:sz w:val="24"/>
          <w:szCs w:val="24"/>
          <w:lang w:bidi="en-US"/>
        </w:rPr>
        <w:t>The data that support the findings of this study are available from the corresponding author upon reasonable request, the raw data all came from open datasets.</w:t>
      </w:r>
    </w:p>
    <w:p w14:paraId="44424CC5">
      <w:pPr>
        <w:pStyle w:val="32"/>
        <w:spacing w:after="240" w:line="240" w:lineRule="auto"/>
        <w:ind w:left="0"/>
        <w:rPr>
          <w:rFonts w:ascii="Times New Roman" w:hAnsi="Times New Roman" w:eastAsiaTheme="minorEastAsia"/>
          <w:sz w:val="24"/>
          <w:szCs w:val="24"/>
          <w:lang w:eastAsia="zh-CN"/>
        </w:rPr>
      </w:pPr>
    </w:p>
    <w:p w14:paraId="1AEFAD9D">
      <w:pPr>
        <w:pStyle w:val="32"/>
        <w:spacing w:after="240" w:line="240" w:lineRule="auto"/>
        <w:ind w:left="0"/>
        <w:rPr>
          <w:rFonts w:ascii="Times New Roman" w:hAnsi="Times New Roman" w:eastAsiaTheme="minorEastAsia"/>
          <w:sz w:val="24"/>
          <w:szCs w:val="24"/>
          <w:lang w:eastAsia="zh-CN"/>
        </w:rPr>
      </w:pPr>
      <w:r>
        <w:rPr>
          <w:rFonts w:ascii="Times New Roman" w:hAnsi="Times New Roman" w:eastAsiaTheme="minorEastAsia"/>
          <w:sz w:val="24"/>
          <w:szCs w:val="24"/>
          <w:lang w:eastAsia="zh-CN"/>
        </w:rPr>
        <w:t xml:space="preserve">During the preparation of this work, the author(s) used </w:t>
      </w:r>
      <w:r>
        <w:rPr>
          <w:rFonts w:hint="eastAsia" w:ascii="Times New Roman" w:hAnsi="Times New Roman" w:eastAsiaTheme="minorEastAsia"/>
          <w:sz w:val="24"/>
          <w:szCs w:val="24"/>
          <w:lang w:eastAsia="zh-CN"/>
        </w:rPr>
        <w:t xml:space="preserve">Deep seek </w:t>
      </w:r>
      <w:r>
        <w:rPr>
          <w:rFonts w:ascii="Times New Roman" w:hAnsi="Times New Roman" w:eastAsiaTheme="minorEastAsia"/>
          <w:sz w:val="24"/>
          <w:szCs w:val="24"/>
          <w:lang w:eastAsia="zh-CN"/>
        </w:rPr>
        <w:t>for</w:t>
      </w:r>
      <w:r>
        <w:rPr>
          <w:rFonts w:hint="eastAsia" w:ascii="Times New Roman" w:hAnsi="Times New Roman" w:eastAsiaTheme="minorEastAsia"/>
          <w:sz w:val="24"/>
          <w:szCs w:val="24"/>
          <w:lang w:eastAsia="zh-CN"/>
        </w:rPr>
        <w:t xml:space="preserve"> language translation</w:t>
      </w:r>
      <w:r>
        <w:rPr>
          <w:rFonts w:ascii="Times New Roman" w:hAnsi="Times New Roman" w:eastAsiaTheme="minorEastAsia"/>
          <w:sz w:val="24"/>
          <w:szCs w:val="24"/>
          <w:lang w:eastAsia="zh-CN"/>
        </w:rPr>
        <w:t>. The author(s) reviewed and edited the output as needed and take full responsibility for the content of the published article.</w:t>
      </w:r>
    </w:p>
    <w:bookmarkEnd w:id="5"/>
    <w:p w14:paraId="7009A2CC">
      <w:pPr>
        <w:pStyle w:val="47"/>
        <w:spacing w:line="240" w:lineRule="auto"/>
        <w:ind w:left="0"/>
        <w:rPr>
          <w:rFonts w:ascii="Times New Roman" w:hAnsi="Times New Roman"/>
          <w:szCs w:val="24"/>
        </w:rPr>
      </w:pPr>
      <w:r>
        <w:rPr>
          <w:rFonts w:ascii="Times New Roman" w:hAnsi="Times New Roman"/>
          <w:szCs w:val="24"/>
        </w:rPr>
        <w:t>References</w:t>
      </w:r>
    </w:p>
    <w:p w14:paraId="323EC665">
      <w:pPr>
        <w:pStyle w:val="66"/>
        <w:spacing w:line="240" w:lineRule="auto"/>
      </w:pPr>
      <w:r>
        <w:rPr>
          <w:rFonts w:ascii="Times New Roman" w:hAnsi="Times New Roman"/>
          <w:szCs w:val="24"/>
        </w:rPr>
        <w:fldChar w:fldCharType="begin"/>
      </w:r>
      <w:r>
        <w:rPr>
          <w:rFonts w:ascii="Times New Roman" w:hAnsi="Times New Roman"/>
          <w:szCs w:val="24"/>
        </w:rPr>
        <w:instrText xml:space="preserve"> ADDIN ZOTERO_BIBL {"uncited":[],"omitted":[],"custom":[]} CSL_BIBLIOGRAPHY </w:instrText>
      </w:r>
      <w:r>
        <w:rPr>
          <w:rFonts w:ascii="Times New Roman" w:hAnsi="Times New Roman"/>
          <w:szCs w:val="24"/>
        </w:rPr>
        <w:fldChar w:fldCharType="separate"/>
      </w:r>
      <w:r>
        <w:t xml:space="preserve">Archibald, S., Hempson, G. P., &amp; Lehmann, C. (2019). A unified framework for plant life-history strategies shaped by fire and herbivory. </w:t>
      </w:r>
      <w:r>
        <w:rPr>
          <w:i/>
          <w:iCs/>
        </w:rPr>
        <w:t>New Phytologist</w:t>
      </w:r>
      <w:r>
        <w:t xml:space="preserve">, </w:t>
      </w:r>
      <w:r>
        <w:rPr>
          <w:i/>
          <w:iCs/>
        </w:rPr>
        <w:t>224</w:t>
      </w:r>
      <w:r>
        <w:t>(4), 1490–1503. https://doi.org/10.1111/nph.15986</w:t>
      </w:r>
    </w:p>
    <w:p w14:paraId="2D4DD1CE">
      <w:pPr>
        <w:pStyle w:val="66"/>
        <w:spacing w:line="240" w:lineRule="auto"/>
      </w:pPr>
      <w:r>
        <w:t xml:space="preserve">Britannica. (2026, May 7). </w:t>
      </w:r>
      <w:r>
        <w:rPr>
          <w:i/>
          <w:iCs/>
        </w:rPr>
        <w:t>Los Angeles wildfires of 2025 | Deaths, Damage, &amp; Facts | Britannica</w:t>
      </w:r>
      <w:r>
        <w:t>. https://www.britannica.com/event/Los-Angeles-wildfires-of-2025</w:t>
      </w:r>
    </w:p>
    <w:p w14:paraId="1D769FC2">
      <w:pPr>
        <w:pStyle w:val="66"/>
        <w:spacing w:line="240" w:lineRule="auto"/>
      </w:pPr>
      <w:r>
        <w:t xml:space="preserve">C. Wissel. (1984). A universal law of the characteristics return time near thresholds. </w:t>
      </w:r>
      <w:r>
        <w:rPr>
          <w:i/>
          <w:iCs/>
        </w:rPr>
        <w:t>Oecologia</w:t>
      </w:r>
      <w:r>
        <w:t xml:space="preserve">, </w:t>
      </w:r>
      <w:r>
        <w:rPr>
          <w:i/>
          <w:iCs/>
        </w:rPr>
        <w:t>65</w:t>
      </w:r>
      <w:r>
        <w:t>(1), 101–107. https://doi.org/10.1007/BF00384470</w:t>
      </w:r>
    </w:p>
    <w:p w14:paraId="6ADB99BC">
      <w:pPr>
        <w:pStyle w:val="66"/>
        <w:spacing w:line="240" w:lineRule="auto"/>
      </w:pPr>
      <w:r>
        <w:t xml:space="preserve">Cai J, Zhang, M., Hai-Jun, S., &amp; Hai-bo, Z. (2014). </w:t>
      </w:r>
      <w:r>
        <w:rPr>
          <w:i/>
          <w:iCs/>
        </w:rPr>
        <w:t>Application of Ecological Niche Models for Selection of Species Habitat</w:t>
      </w:r>
      <w:r>
        <w:t xml:space="preserve">. </w:t>
      </w:r>
      <w:r>
        <w:rPr>
          <w:i/>
          <w:iCs/>
        </w:rPr>
        <w:t>18</w:t>
      </w:r>
      <w:r>
        <w:t>, 47–53. https://doi.org/10.13326/j.jea.2014.0012</w:t>
      </w:r>
    </w:p>
    <w:p w14:paraId="05A5AD59">
      <w:pPr>
        <w:pStyle w:val="66"/>
        <w:spacing w:line="240" w:lineRule="auto"/>
      </w:pPr>
      <w:r>
        <w:t xml:space="preserve">CAL FIRE. (2025). </w:t>
      </w:r>
      <w:r>
        <w:rPr>
          <w:i/>
          <w:iCs/>
        </w:rPr>
        <w:t>2025 Fire Season Incident Archive</w:t>
      </w:r>
      <w:r>
        <w:t>. CAL FIRE. https://www.fire.ca.gov/incidents/2025</w:t>
      </w:r>
    </w:p>
    <w:p w14:paraId="3FF7E01C">
      <w:pPr>
        <w:pStyle w:val="66"/>
        <w:spacing w:line="240" w:lineRule="auto"/>
      </w:pPr>
      <w:r>
        <w:t xml:space="preserve">Chuvieco, E., Mouillot, F., van der Werf, G. R., San Miguel, J., Tanase, M., Koutsias, N., García, M., Yebra, M., Padilla, M., Gitas, I., Heil, A., Hawbaker, T. J., &amp; Giglio, L. (2019). Historical background and current developments for mapping burned area from satellite Earth observation. </w:t>
      </w:r>
      <w:r>
        <w:rPr>
          <w:i/>
          <w:iCs/>
        </w:rPr>
        <w:t>Remote Sensing of Environment</w:t>
      </w:r>
      <w:r>
        <w:t xml:space="preserve">, </w:t>
      </w:r>
      <w:r>
        <w:rPr>
          <w:i/>
          <w:iCs/>
        </w:rPr>
        <w:t>225</w:t>
      </w:r>
      <w:r>
        <w:t>, 45–64. https://doi.org/10.1016/j.rse.2019.02.013</w:t>
      </w:r>
    </w:p>
    <w:p w14:paraId="235D7587">
      <w:pPr>
        <w:pStyle w:val="66"/>
        <w:spacing w:line="240" w:lineRule="auto"/>
      </w:pPr>
      <w:r>
        <w:t xml:space="preserve">de Andrade, A. C., Harrison, M. E., &amp; McConkey, K. R. (2026). Going up in smoke: Hazardous ecological consequences of wildfire emissions. </w:t>
      </w:r>
      <w:r>
        <w:rPr>
          <w:i/>
          <w:iCs/>
        </w:rPr>
        <w:t>Global Ecology and Conservation</w:t>
      </w:r>
      <w:r>
        <w:t xml:space="preserve">, </w:t>
      </w:r>
      <w:r>
        <w:rPr>
          <w:i/>
          <w:iCs/>
        </w:rPr>
        <w:t>66</w:t>
      </w:r>
      <w:r>
        <w:t>, e04123. https://doi.org/10.1016/j.gecco.2026.e04123</w:t>
      </w:r>
    </w:p>
    <w:p w14:paraId="53729056">
      <w:pPr>
        <w:pStyle w:val="66"/>
        <w:spacing w:line="240" w:lineRule="auto"/>
      </w:pPr>
      <w:r>
        <w:t xml:space="preserve">Defense, F. W. (2025, September 25). Impact of the LA Fires. </w:t>
      </w:r>
      <w:r>
        <w:rPr>
          <w:i/>
          <w:iCs/>
        </w:rPr>
        <w:t>Frontline</w:t>
      </w:r>
      <w:r>
        <w:t>. https://www.frontlinewildfire.com/wildfire-news-and-resources/impact-of-la-fires/</w:t>
      </w:r>
    </w:p>
    <w:p w14:paraId="6D181A57">
      <w:pPr>
        <w:pStyle w:val="66"/>
        <w:spacing w:line="240" w:lineRule="auto"/>
      </w:pPr>
      <w:r>
        <w:t xml:space="preserve">Driscoll, D. A., Macdonald, K. J., Gibson, R. K., Doherty, T. S., Nimmo, D. G., Nolan, R. H., Ritchie, E. G., Williamson, G. J., Heard, G. W., Tasker, E. M., Bilney, R., Porch, N., Collett, R. A., Crates, R. A., Hewitt, A. C., Pendall, E., Boer, M. M., Gates, J., Boulton, R. L., … Phillips, R. D. (2024). Biodiversity impacts of the 2019–2020 Australian megafires. </w:t>
      </w:r>
      <w:r>
        <w:rPr>
          <w:i/>
          <w:iCs/>
        </w:rPr>
        <w:t>Nature</w:t>
      </w:r>
      <w:r>
        <w:t xml:space="preserve">, </w:t>
      </w:r>
      <w:r>
        <w:rPr>
          <w:i/>
          <w:iCs/>
        </w:rPr>
        <w:t>635</w:t>
      </w:r>
      <w:r>
        <w:t>(8040), 898–905. https://doi.org/10.1038/s41586-024-08174-6</w:t>
      </w:r>
    </w:p>
    <w:p w14:paraId="50B77969">
      <w:pPr>
        <w:pStyle w:val="66"/>
        <w:spacing w:line="240" w:lineRule="auto"/>
      </w:pPr>
      <w:r>
        <w:t xml:space="preserve">Ermitão, T., Gouveia, C., Bastos, A., &amp; Russo, A. (2024). Recovery Following Recurrent Fires Across Mediterranean Ecosystems. </w:t>
      </w:r>
      <w:r>
        <w:rPr>
          <w:i/>
          <w:iCs/>
        </w:rPr>
        <w:t>Global Change Biology</w:t>
      </w:r>
      <w:r>
        <w:t xml:space="preserve">, </w:t>
      </w:r>
      <w:r>
        <w:rPr>
          <w:i/>
          <w:iCs/>
        </w:rPr>
        <w:t>30</w:t>
      </w:r>
      <w:r>
        <w:t>. https://doi.org/10.1111/gcb.70013</w:t>
      </w:r>
    </w:p>
    <w:p w14:paraId="29B98A16">
      <w:pPr>
        <w:pStyle w:val="66"/>
        <w:spacing w:line="240" w:lineRule="auto"/>
      </w:pPr>
      <w:r>
        <w:t xml:space="preserve">Fateme Ghareghan, Gholamabbas Ghanbarian, Hamid Reza Pourghasemi, &amp; Roja Safaeian. (2020). Prediction of habitat suitability of Morina persica L. species using artificial intelligence techniques. </w:t>
      </w:r>
      <w:r>
        <w:rPr>
          <w:i/>
          <w:iCs/>
        </w:rPr>
        <w:t>Ecological Indicators</w:t>
      </w:r>
      <w:r>
        <w:t xml:space="preserve">, </w:t>
      </w:r>
      <w:r>
        <w:rPr>
          <w:i/>
          <w:iCs/>
        </w:rPr>
        <w:t>112</w:t>
      </w:r>
      <w:r>
        <w:t>, 106096. https://doi.org/10.1016/j.ecolind.2020.106096</w:t>
      </w:r>
    </w:p>
    <w:p w14:paraId="4DF338C5">
      <w:pPr>
        <w:pStyle w:val="66"/>
        <w:spacing w:line="240" w:lineRule="auto"/>
      </w:pPr>
      <w:r>
        <w:t xml:space="preserve">Fotheringham, A. S., Yang, W., &amp; Kang, W. (2017). Multiscale Geographically Weighted Regression (MGWR). </w:t>
      </w:r>
      <w:r>
        <w:rPr>
          <w:i/>
          <w:iCs/>
        </w:rPr>
        <w:t>Annals of the American Association of Geographers</w:t>
      </w:r>
      <w:r>
        <w:t xml:space="preserve">, </w:t>
      </w:r>
      <w:r>
        <w:rPr>
          <w:i/>
          <w:iCs/>
        </w:rPr>
        <w:t>107</w:t>
      </w:r>
      <w:r>
        <w:t>(6), 1247–1265. https://doi.org/10.1080/24694452.2017.1352480</w:t>
      </w:r>
    </w:p>
    <w:p w14:paraId="06D5C20D">
      <w:pPr>
        <w:pStyle w:val="66"/>
        <w:spacing w:line="240" w:lineRule="auto"/>
      </w:pPr>
      <w:r>
        <w:t xml:space="preserve">Giglio, L., Boschetti, L., Roy, D. P., Humber, M. L., &amp; Justice, C. O. (2018). The Collection 6 MODIS burned area mapping algorithm and product. </w:t>
      </w:r>
      <w:r>
        <w:rPr>
          <w:i/>
          <w:iCs/>
        </w:rPr>
        <w:t>Remote Sensing of Environment</w:t>
      </w:r>
      <w:r>
        <w:t xml:space="preserve">, </w:t>
      </w:r>
      <w:r>
        <w:rPr>
          <w:i/>
          <w:iCs/>
        </w:rPr>
        <w:t>217</w:t>
      </w:r>
      <w:r>
        <w:t>, 72–85. https://doi.org/10.1016/j.rse.2018.08.005</w:t>
      </w:r>
    </w:p>
    <w:p w14:paraId="51821017">
      <w:pPr>
        <w:pStyle w:val="66"/>
        <w:spacing w:line="240" w:lineRule="auto"/>
      </w:pPr>
      <w:r>
        <w:t xml:space="preserve">Goldberg, J., Rodman, K., &amp; Jones, G. (2025). Characterizing climate- and fire-driven habitat vulnerability for an old-forest species. </w:t>
      </w:r>
      <w:r>
        <w:rPr>
          <w:i/>
          <w:iCs/>
        </w:rPr>
        <w:t>Landscape Ecology</w:t>
      </w:r>
      <w:r>
        <w:t xml:space="preserve">, </w:t>
      </w:r>
      <w:r>
        <w:rPr>
          <w:i/>
          <w:iCs/>
        </w:rPr>
        <w:t>40</w:t>
      </w:r>
      <w:r>
        <w:t>. https://doi.org/10.1007/s10980-025-02171-4</w:t>
      </w:r>
    </w:p>
    <w:p w14:paraId="05B01202">
      <w:pPr>
        <w:pStyle w:val="66"/>
        <w:spacing w:line="240" w:lineRule="auto"/>
      </w:pPr>
      <w:r>
        <w:t xml:space="preserve">Groffman, P. M., Baron, J. S., Blett, T., Gold, A. J., Goodman, I., Gunderson, L. H., Levinson, B. M., Palmer, M. A., Paerl, H. W., Peterson, G. D., Poff, N. L., Rejeski, D. W., Reynolds, J. F., Turner, M. G., Weathers, K. C., &amp; Wiens, J. (2006). Ecological Thresholds: The Key to Successful Environmental Management or an Important Concept with No Practical Application? </w:t>
      </w:r>
      <w:r>
        <w:rPr>
          <w:i/>
          <w:iCs/>
        </w:rPr>
        <w:t>Ecosystems</w:t>
      </w:r>
      <w:r>
        <w:t xml:space="preserve">, </w:t>
      </w:r>
      <w:r>
        <w:rPr>
          <w:i/>
          <w:iCs/>
        </w:rPr>
        <w:t>9</w:t>
      </w:r>
      <w:r>
        <w:t>(1), 1. https://doi.org/10.1007/S10021-003-0142-Z</w:t>
      </w:r>
    </w:p>
    <w:p w14:paraId="4EAF8D6C">
      <w:pPr>
        <w:pStyle w:val="66"/>
        <w:spacing w:line="240" w:lineRule="auto"/>
      </w:pPr>
      <w:r>
        <w:rPr>
          <w:i/>
          <w:iCs/>
        </w:rPr>
        <w:t>Habitat preferences of different reptile species</w:t>
      </w:r>
      <w:r>
        <w:t>. (2024, May 1). https://animalnepal.org/habitat-preferences-different/</w:t>
      </w:r>
    </w:p>
    <w:p w14:paraId="3FD15900">
      <w:pPr>
        <w:pStyle w:val="66"/>
        <w:spacing w:line="240" w:lineRule="auto"/>
      </w:pPr>
      <w:r>
        <w:t xml:space="preserve">Howe, A. A., Parks, S. A., Harvey, B. J., Saberi, S. J., Lutz, J. A., &amp; Yocom, L. L. (2022). Comparing Sentinel-2 and Landsat 8 for Burn Severity Mapping in Western North America. </w:t>
      </w:r>
      <w:r>
        <w:rPr>
          <w:i/>
          <w:iCs/>
        </w:rPr>
        <w:t>Remote Sensing</w:t>
      </w:r>
      <w:r>
        <w:t xml:space="preserve">, </w:t>
      </w:r>
      <w:r>
        <w:rPr>
          <w:i/>
          <w:iCs/>
        </w:rPr>
        <w:t>14</w:t>
      </w:r>
      <w:r>
        <w:t>(20), 5249. https://doi.org/10.3390/rs14205249</w:t>
      </w:r>
    </w:p>
    <w:p w14:paraId="5D503D00">
      <w:pPr>
        <w:pStyle w:val="66"/>
        <w:spacing w:line="240" w:lineRule="auto"/>
      </w:pPr>
      <w:r>
        <w:t xml:space="preserve">Insurance Institute for Business ＆ Home Safety. (2025, April 23). </w:t>
      </w:r>
      <w:r>
        <w:rPr>
          <w:i/>
          <w:iCs/>
        </w:rPr>
        <w:t>2025 LA County Wildfires: Early Insights from Field Observations</w:t>
      </w:r>
      <w:r>
        <w:t>. CTIF. https://www.ctif.org/zh-hans/news/2025-nianluoshanjiyehuodezaoqidongchabaogao</w:t>
      </w:r>
    </w:p>
    <w:p w14:paraId="6A410755">
      <w:pPr>
        <w:pStyle w:val="66"/>
        <w:spacing w:line="240" w:lineRule="auto"/>
      </w:pPr>
      <w:r>
        <w:t xml:space="preserve">Jacobs, I. (2022). Animal Response to Fire. In </w:t>
      </w:r>
      <w:r>
        <w:rPr>
          <w:i/>
          <w:iCs/>
        </w:rPr>
        <w:t>Encyclopedia of Animal Cognition and Behavior</w:t>
      </w:r>
      <w:r>
        <w:t xml:space="preserve"> (pp. 314–317). Springer, Cham. https://doi.org/10.1007/978-3-319-55065-7_2095</w:t>
      </w:r>
    </w:p>
    <w:p w14:paraId="5BC33C04">
      <w:pPr>
        <w:pStyle w:val="66"/>
        <w:spacing w:line="240" w:lineRule="auto"/>
      </w:pPr>
      <w:r>
        <w:t xml:space="preserve">Jia Yihang, Shu Huilin, Lei Gang, Yang Yang, &amp; Qi Lianghua. (2025). Species distribution models: Conceptual typologies, modeling predictions, and applications in ecosystem management. </w:t>
      </w:r>
      <w:r>
        <w:rPr>
          <w:i/>
          <w:iCs/>
        </w:rPr>
        <w:t>Science of Soil and Water Conservation</w:t>
      </w:r>
      <w:r>
        <w:t xml:space="preserve">, </w:t>
      </w:r>
      <w:r>
        <w:rPr>
          <w:i/>
          <w:iCs/>
        </w:rPr>
        <w:t>24</w:t>
      </w:r>
      <w:r>
        <w:t>(2), 7–17. https://doi.org/10.16843/j.sswc.2025104</w:t>
      </w:r>
    </w:p>
    <w:p w14:paraId="6BE2541F">
      <w:pPr>
        <w:pStyle w:val="66"/>
        <w:spacing w:line="240" w:lineRule="auto"/>
      </w:pPr>
      <w:r>
        <w:t xml:space="preserve">Jin, Y., Zhou, K., Gao, J., Mu, S., &amp; Zhang, X. (2016). Identifying the priority conservation areas for key national protected terrestrial vertebrate species based on a random forest model in China. </w:t>
      </w:r>
      <w:r>
        <w:rPr>
          <w:i/>
          <w:iCs/>
        </w:rPr>
        <w:t>Acta Ecologica Sinica</w:t>
      </w:r>
      <w:r>
        <w:t xml:space="preserve">, </w:t>
      </w:r>
      <w:r>
        <w:rPr>
          <w:i/>
          <w:iCs/>
        </w:rPr>
        <w:t>36</w:t>
      </w:r>
      <w:r>
        <w:t>(23), 7702–7712. https://doi.org/10.5846/stxb201512082454</w:t>
      </w:r>
    </w:p>
    <w:p w14:paraId="64C20DF7">
      <w:pPr>
        <w:pStyle w:val="66"/>
        <w:spacing w:line="240" w:lineRule="auto"/>
      </w:pPr>
      <w:r>
        <w:t xml:space="preserve">Keeley, J., Safford, H., Fotheringham, C., Franklin, J., &amp; Moritz, M. (2009). The 2007 Southern California Wildfires: Lessons in Complexity. </w:t>
      </w:r>
      <w:r>
        <w:rPr>
          <w:i/>
          <w:iCs/>
        </w:rPr>
        <w:t>Journal of Forestry</w:t>
      </w:r>
      <w:r>
        <w:t xml:space="preserve">, </w:t>
      </w:r>
      <w:r>
        <w:rPr>
          <w:i/>
          <w:iCs/>
        </w:rPr>
        <w:t>107</w:t>
      </w:r>
      <w:r>
        <w:t>, 287–296. https://doi.org/10.1093/jof/107.6.287</w:t>
      </w:r>
    </w:p>
    <w:p w14:paraId="039E9B5E">
      <w:pPr>
        <w:pStyle w:val="66"/>
        <w:spacing w:line="240" w:lineRule="auto"/>
      </w:pPr>
      <w:r>
        <w:t xml:space="preserve">Loboda, T., O’Neal, K. J., &amp; Csiszar, I. (2007). Regionally adaptable dNBR-based algorithm for burned area mapping from MODIS data. </w:t>
      </w:r>
      <w:r>
        <w:rPr>
          <w:i/>
          <w:iCs/>
        </w:rPr>
        <w:t>Remote Sensing of Environment</w:t>
      </w:r>
      <w:r>
        <w:t xml:space="preserve">, </w:t>
      </w:r>
      <w:r>
        <w:rPr>
          <w:i/>
          <w:iCs/>
        </w:rPr>
        <w:t>109</w:t>
      </w:r>
      <w:r>
        <w:t>(4), 429–442. https://doi.org/10.1016/j.rse.2007.01.017</w:t>
      </w:r>
    </w:p>
    <w:p w14:paraId="76BB286E">
      <w:pPr>
        <w:pStyle w:val="66"/>
        <w:spacing w:line="240" w:lineRule="auto"/>
      </w:pPr>
      <w:r>
        <w:t xml:space="preserve">Lu, B., Ge, Y., Qin, K., &amp; Zheng, J. (2020). A Review on Geographically Weighted Regression. </w:t>
      </w:r>
      <w:r>
        <w:rPr>
          <w:i/>
          <w:iCs/>
        </w:rPr>
        <w:t>Wuhan Daxue Xuebao (Xinxi Kexue Ban)/Geomatics and Information Science of Wuhan University</w:t>
      </w:r>
      <w:r>
        <w:t xml:space="preserve">, </w:t>
      </w:r>
      <w:r>
        <w:rPr>
          <w:i/>
          <w:iCs/>
        </w:rPr>
        <w:t>45</w:t>
      </w:r>
      <w:r>
        <w:t>, 1356–1366. https://doi.org/10.13203/j.whugis20190346</w:t>
      </w:r>
    </w:p>
    <w:p w14:paraId="050B0883">
      <w:pPr>
        <w:pStyle w:val="66"/>
        <w:spacing w:line="240" w:lineRule="auto"/>
      </w:pPr>
      <w:r>
        <w:t xml:space="preserve">Mendelsohn, M. B., Brehme, C. S., Rochester, C. J., Stokes, D. C., Hathaway, S. A., &amp; Fisher, R. N. (2008). Responses in bird communities to wildland fires in southern California. </w:t>
      </w:r>
      <w:r>
        <w:rPr>
          <w:i/>
          <w:iCs/>
        </w:rPr>
        <w:t>Fire Ecology</w:t>
      </w:r>
      <w:r>
        <w:t xml:space="preserve">, </w:t>
      </w:r>
      <w:r>
        <w:rPr>
          <w:i/>
          <w:iCs/>
        </w:rPr>
        <w:t>4</w:t>
      </w:r>
      <w:r>
        <w:t>(2), 63–82. https://doi.org/10.4996/fireecology.0402063</w:t>
      </w:r>
    </w:p>
    <w:p w14:paraId="13524982">
      <w:pPr>
        <w:pStyle w:val="66"/>
        <w:spacing w:line="240" w:lineRule="auto"/>
      </w:pPr>
      <w:r>
        <w:t xml:space="preserve">Mosquera-Guerra, F., Moreno-Niño, N., Garcia-Suabita, W., &amp; Armenteras-Pascual, D. (2024). Impact of wildfires on the suitability habitat of the lowland tapir in a native savanna landscape of northern South America. </w:t>
      </w:r>
      <w:r>
        <w:rPr>
          <w:i/>
          <w:iCs/>
        </w:rPr>
        <w:t>Discover Conservation</w:t>
      </w:r>
      <w:r>
        <w:t xml:space="preserve">, </w:t>
      </w:r>
      <w:r>
        <w:rPr>
          <w:i/>
          <w:iCs/>
        </w:rPr>
        <w:t>1</w:t>
      </w:r>
      <w:r>
        <w:t>(1), 15. https://doi.org/10.1007/s44353-024-00013-z</w:t>
      </w:r>
    </w:p>
    <w:p w14:paraId="56DAB161">
      <w:pPr>
        <w:pStyle w:val="66"/>
        <w:spacing w:line="240" w:lineRule="auto"/>
      </w:pPr>
      <w:r>
        <w:t xml:space="preserve">Nimmo, D., Carthey, A., Jolly, C., &amp; Blumstein, D. (2021). Welcome to the Pyrocene: Animal survival in the age of megafire. </w:t>
      </w:r>
      <w:r>
        <w:rPr>
          <w:i/>
          <w:iCs/>
        </w:rPr>
        <w:t>Global Change Biology</w:t>
      </w:r>
      <w:r>
        <w:t xml:space="preserve">, </w:t>
      </w:r>
      <w:r>
        <w:rPr>
          <w:i/>
          <w:iCs/>
        </w:rPr>
        <w:t>27</w:t>
      </w:r>
      <w:r>
        <w:t>, 5684–5693. https://doi.org/10.1111/gcb.15834</w:t>
      </w:r>
    </w:p>
    <w:p w14:paraId="1ED3B613">
      <w:pPr>
        <w:pStyle w:val="66"/>
        <w:spacing w:line="240" w:lineRule="auto"/>
      </w:pPr>
      <w:r>
        <w:t xml:space="preserve">North, T. D., Markle, C. E., Fallas, R. Y., Moore, P. A., &amp; Waddington, J. M. (2024). Initial impacts of wildfire on overwintering conditions for a Species-at-Risk snake. </w:t>
      </w:r>
      <w:r>
        <w:rPr>
          <w:i/>
          <w:iCs/>
        </w:rPr>
        <w:t>Global Ecology and Conservation</w:t>
      </w:r>
      <w:r>
        <w:t xml:space="preserve">, </w:t>
      </w:r>
      <w:r>
        <w:rPr>
          <w:i/>
          <w:iCs/>
        </w:rPr>
        <w:t>56</w:t>
      </w:r>
      <w:r>
        <w:t>, e03258. https://doi.org/10.1016/j.gecco.2024.e03258</w:t>
      </w:r>
    </w:p>
    <w:p w14:paraId="3AFCB698">
      <w:pPr>
        <w:pStyle w:val="66"/>
        <w:spacing w:line="240" w:lineRule="auto"/>
      </w:pPr>
      <w:r>
        <w:t xml:space="preserve">Pahlavani, P., Raei, A., Bigdeli, B., &amp; Ghorbanzadeh, O. (2024). Identifying Influential Spatial Drivers of Forest Fires through Geographically and Temporally Weighted Regression Coupled with a Continuous Invasive Weed Optimization Algorithm. </w:t>
      </w:r>
      <w:r>
        <w:rPr>
          <w:i/>
          <w:iCs/>
        </w:rPr>
        <w:t>Fire</w:t>
      </w:r>
      <w:r>
        <w:t xml:space="preserve">, </w:t>
      </w:r>
      <w:r>
        <w:rPr>
          <w:i/>
          <w:iCs/>
        </w:rPr>
        <w:t>7</w:t>
      </w:r>
      <w:r>
        <w:t>(1), 33. https://doi.org/10.3390/fire7010033</w:t>
      </w:r>
    </w:p>
    <w:p w14:paraId="0BF5A7D5">
      <w:pPr>
        <w:pStyle w:val="66"/>
        <w:spacing w:line="240" w:lineRule="auto"/>
      </w:pPr>
      <w:r>
        <w:t xml:space="preserve">Pausas, J., &amp; Parr, C. (2018). Towards an understanding of the evolutionary role of fire in animals. </w:t>
      </w:r>
      <w:r>
        <w:rPr>
          <w:i/>
          <w:iCs/>
        </w:rPr>
        <w:t>Evolutionary Ecology</w:t>
      </w:r>
      <w:r>
        <w:t xml:space="preserve">, </w:t>
      </w:r>
      <w:r>
        <w:rPr>
          <w:i/>
          <w:iCs/>
        </w:rPr>
        <w:t>32</w:t>
      </w:r>
      <w:r>
        <w:t>. https://doi.org/10.1007/s10682-018-9927-6</w:t>
      </w:r>
    </w:p>
    <w:p w14:paraId="6A345C36">
      <w:pPr>
        <w:pStyle w:val="66"/>
        <w:spacing w:line="240" w:lineRule="auto"/>
      </w:pPr>
      <w:r>
        <w:t xml:space="preserve">Phillips, S. J., Anderson, R. P., &amp; Schapire, R. E. (2006). Maximum entropy modeling of species geographic distributions. </w:t>
      </w:r>
      <w:r>
        <w:rPr>
          <w:i/>
          <w:iCs/>
        </w:rPr>
        <w:t>Ecological Modelling</w:t>
      </w:r>
      <w:r>
        <w:t xml:space="preserve">, </w:t>
      </w:r>
      <w:r>
        <w:rPr>
          <w:i/>
          <w:iCs/>
        </w:rPr>
        <w:t>190</w:t>
      </w:r>
      <w:r>
        <w:t>(3), 231–259. https://doi.org/10.1016/j.ecolmodel.2005.03.026</w:t>
      </w:r>
    </w:p>
    <w:p w14:paraId="75C2688B">
      <w:pPr>
        <w:pStyle w:val="66"/>
        <w:spacing w:line="240" w:lineRule="auto"/>
      </w:pPr>
      <w:r>
        <w:t xml:space="preserve">Rana, S. M. S., Lee, J., Kang, Y., &amp; Im, J. (2026). Exploring the impacts of dual-polarized vegetation indices and U-shaped deep learning architectures on SAR-based burned area mapping. </w:t>
      </w:r>
      <w:r>
        <w:rPr>
          <w:i/>
          <w:iCs/>
        </w:rPr>
        <w:t>International Journal of Applied Earth Observation and Geoinformation</w:t>
      </w:r>
      <w:r>
        <w:t xml:space="preserve">, </w:t>
      </w:r>
      <w:r>
        <w:rPr>
          <w:i/>
          <w:iCs/>
        </w:rPr>
        <w:t>146</w:t>
      </w:r>
      <w:r>
        <w:t>, 105141. https://doi.org/10.1016/j.jag.2026.105141</w:t>
      </w:r>
    </w:p>
    <w:p w14:paraId="3E319009">
      <w:pPr>
        <w:pStyle w:val="66"/>
        <w:spacing w:line="240" w:lineRule="auto"/>
      </w:pPr>
      <w:r>
        <w:t xml:space="preserve">Ronneberger, O., Fischer, P., &amp; Brox, T. (2015). U-Net: Convolutional Networks for Biomedical Image Segmentation. In N. Navab, J. Hornegger, W. M. Wells, &amp; A. F. Frangi (Eds.), </w:t>
      </w:r>
      <w:r>
        <w:rPr>
          <w:i/>
          <w:iCs/>
        </w:rPr>
        <w:t>Medical Image Computing and Computer-Assisted Intervention – MICCAI 2015</w:t>
      </w:r>
      <w:r>
        <w:t xml:space="preserve"> (pp. 234–241). Springer International Publishing. https://doi.org/10.1007/978-3-319-24574-4_28</w:t>
      </w:r>
    </w:p>
    <w:p w14:paraId="0E6F86B5">
      <w:pPr>
        <w:pStyle w:val="66"/>
        <w:spacing w:line="240" w:lineRule="auto"/>
      </w:pPr>
      <w:r>
        <w:t xml:space="preserve">Roy, D. P., &amp; Boschetti, L. (2009). Southern Africa Validation of the MODIS, L3JRC, and GlobCarbon Burned-Area Products. </w:t>
      </w:r>
      <w:r>
        <w:rPr>
          <w:i/>
          <w:iCs/>
        </w:rPr>
        <w:t>IEEE Transactions on Geoscience and Remote Sensing</w:t>
      </w:r>
      <w:r>
        <w:t xml:space="preserve">, </w:t>
      </w:r>
      <w:r>
        <w:rPr>
          <w:i/>
          <w:iCs/>
        </w:rPr>
        <w:t>47</w:t>
      </w:r>
      <w:r>
        <w:t>(4), 1032–1044. https://doi.org/10.1109/TGRS.2008.2009000</w:t>
      </w:r>
    </w:p>
    <w:p w14:paraId="678F94A2">
      <w:pPr>
        <w:pStyle w:val="66"/>
        <w:spacing w:line="240" w:lineRule="auto"/>
      </w:pPr>
      <w:r>
        <w:t xml:space="preserve">Rundel, P., Kalin, M., Keeley, J., Lamont, B., Pausas, J., &amp; Vargas, P. (2018). Fire and Plant Diversification in Mediterranean-Climate Regions. </w:t>
      </w:r>
      <w:r>
        <w:rPr>
          <w:i/>
          <w:iCs/>
        </w:rPr>
        <w:t>Frontiers in Plant Science</w:t>
      </w:r>
      <w:r>
        <w:t xml:space="preserve">, </w:t>
      </w:r>
      <w:r>
        <w:rPr>
          <w:i/>
          <w:iCs/>
        </w:rPr>
        <w:t>9</w:t>
      </w:r>
      <w:r>
        <w:t>, 851. https://doi.org/10.3389/fpls.2018.00851</w:t>
      </w:r>
    </w:p>
    <w:p w14:paraId="0A46049D">
      <w:pPr>
        <w:pStyle w:val="66"/>
        <w:spacing w:line="240" w:lineRule="auto"/>
      </w:pPr>
      <w:r>
        <w:t xml:space="preserve">Sapkota, D. P., Edwards, D. P., Massam, M. R., &amp; Evans, K. L. (2025). A Pantropical Analysis of Fire Impacts and Post-Fire Species Recovery of Plant Life Forms. </w:t>
      </w:r>
      <w:r>
        <w:rPr>
          <w:i/>
          <w:iCs/>
        </w:rPr>
        <w:t>Ecology and Evolution</w:t>
      </w:r>
      <w:r>
        <w:t xml:space="preserve">, </w:t>
      </w:r>
      <w:r>
        <w:rPr>
          <w:i/>
          <w:iCs/>
        </w:rPr>
        <w:t>15</w:t>
      </w:r>
      <w:r>
        <w:t>(2), e71018. https://doi.org/10.1002/ece3.71018</w:t>
      </w:r>
    </w:p>
    <w:p w14:paraId="3B2BB4E1">
      <w:pPr>
        <w:pStyle w:val="66"/>
        <w:spacing w:line="240" w:lineRule="auto"/>
      </w:pPr>
      <w:r>
        <w:t xml:space="preserve">Sinervo, B., Mendez-de-la-Cruz, F., Miles, D. B., Heulin, B., Bastiaans, E., Cruz, M. V.-S., Lara-Resendiz, R., Martinez-Mendez, N., Calderon-Espinosa, M. L., Meza-Lazaro, R. N., Gadsden, H., Avila, L., Morando, M., Riva, I. D. L., Sepulveda, P., Rocha, C., Ibarguengoytia, N., Puntriano, C., Massot, M., … Sites, J. (2010). Erosion of lizard diversity by climate change and altered thermal niches. </w:t>
      </w:r>
      <w:r>
        <w:rPr>
          <w:i/>
          <w:iCs/>
        </w:rPr>
        <w:t>Science</w:t>
      </w:r>
      <w:r>
        <w:t xml:space="preserve">, </w:t>
      </w:r>
      <w:r>
        <w:rPr>
          <w:i/>
          <w:iCs/>
        </w:rPr>
        <w:t>328</w:t>
      </w:r>
      <w:r>
        <w:t>(5980), 894–899. https://doi.org/10.1126/science.1184695</w:t>
      </w:r>
    </w:p>
    <w:p w14:paraId="16C6FE46">
      <w:pPr>
        <w:pStyle w:val="66"/>
        <w:spacing w:line="240" w:lineRule="auto"/>
      </w:pPr>
      <w:r>
        <w:t xml:space="preserve">Song, J., Ali, M., Yang, J., Huang, Z., Fang, Z., Han, B., Zhang, J., Zhang, Y., &amp; Bai, Y. (2026). Climate change effect on the habitat suitability of </w:t>
      </w:r>
      <w:r>
        <w:rPr>
          <w:i/>
          <w:iCs/>
        </w:rPr>
        <w:t>Clausena lansium</w:t>
      </w:r>
      <w:r>
        <w:t xml:space="preserve"> in China via an optimized maximum entropy (MaxEnt) model. </w:t>
      </w:r>
      <w:r>
        <w:rPr>
          <w:i/>
          <w:iCs/>
        </w:rPr>
        <w:t>Ecological Frontiers</w:t>
      </w:r>
      <w:r>
        <w:t xml:space="preserve">, </w:t>
      </w:r>
      <w:r>
        <w:rPr>
          <w:i/>
          <w:iCs/>
        </w:rPr>
        <w:t>46</w:t>
      </w:r>
      <w:r>
        <w:t>(2), 759–770. https://doi.org/10.1016/j.ecofro.2025.12.008</w:t>
      </w:r>
    </w:p>
    <w:p w14:paraId="6B15716F">
      <w:pPr>
        <w:pStyle w:val="66"/>
        <w:spacing w:line="240" w:lineRule="auto"/>
      </w:pPr>
      <w:r>
        <w:t xml:space="preserve">Stawski, C., Körtner, G., Nowack, J., &amp; Geiser, F. (2015). The importance of mammalian torpor for survival in a post-fire landscape. </w:t>
      </w:r>
      <w:r>
        <w:rPr>
          <w:i/>
          <w:iCs/>
        </w:rPr>
        <w:t>Biology Letters</w:t>
      </w:r>
      <w:r>
        <w:t xml:space="preserve">, </w:t>
      </w:r>
      <w:r>
        <w:rPr>
          <w:i/>
          <w:iCs/>
        </w:rPr>
        <w:t>11</w:t>
      </w:r>
      <w:r>
        <w:t>. https://doi.org/10.1098/rsbl.2015.0134</w:t>
      </w:r>
    </w:p>
    <w:p w14:paraId="30AD9D65">
      <w:pPr>
        <w:pStyle w:val="66"/>
        <w:spacing w:line="240" w:lineRule="auto"/>
      </w:pPr>
      <w:r>
        <w:t xml:space="preserve">Steel, Z. L., Campos, B., Frick, W. F., Burnett, R., &amp; Safford, H. D. (2019). The effects of wildfire severity and pyrodiversity on bat occupancy and diversity in fire-suppressed forests. </w:t>
      </w:r>
      <w:r>
        <w:rPr>
          <w:i/>
          <w:iCs/>
        </w:rPr>
        <w:t>Scientific Reports</w:t>
      </w:r>
      <w:r>
        <w:t xml:space="preserve">, </w:t>
      </w:r>
      <w:r>
        <w:rPr>
          <w:i/>
          <w:iCs/>
        </w:rPr>
        <w:t>9</w:t>
      </w:r>
      <w:r>
        <w:t>(1), 16300. https://doi.org/10.1038/s41598-019-52875-2</w:t>
      </w:r>
    </w:p>
    <w:p w14:paraId="0F7BFF17">
      <w:pPr>
        <w:pStyle w:val="66"/>
        <w:spacing w:line="240" w:lineRule="auto"/>
      </w:pPr>
      <w:r>
        <w:t xml:space="preserve">Teng, J., &amp; Liu, X. (2022). The spatio-temporal impact of domestic dogs (Canis familiaris) on giant panda (Ailuropoda melanoleuca) in Baishuijiang National Nature Reserve. </w:t>
      </w:r>
      <w:r>
        <w:rPr>
          <w:i/>
          <w:iCs/>
        </w:rPr>
        <w:t>Biodiversity Science</w:t>
      </w:r>
      <w:r>
        <w:t xml:space="preserve">, </w:t>
      </w:r>
      <w:r>
        <w:rPr>
          <w:i/>
          <w:iCs/>
        </w:rPr>
        <w:t>30</w:t>
      </w:r>
      <w:r>
        <w:t>(1), 21204. https://doi.org/10.17520/biods.2021204</w:t>
      </w:r>
    </w:p>
    <w:p w14:paraId="22F5CF34">
      <w:pPr>
        <w:pStyle w:val="66"/>
        <w:spacing w:line="240" w:lineRule="auto"/>
      </w:pPr>
      <w:r>
        <w:rPr>
          <w:i/>
          <w:iCs/>
        </w:rPr>
        <w:t>The Los Angeles Wildfires: When Climate Disaster Strikes, Community Leads</w:t>
      </w:r>
      <w:r>
        <w:t>. (2025, January 22). The Solutions Project. https://thesolutionsproject.org/the-los-angeles-wildfires-when-climate-disaster-strikes-community-leads/</w:t>
      </w:r>
    </w:p>
    <w:p w14:paraId="4B1ABA0F">
      <w:pPr>
        <w:pStyle w:val="66"/>
        <w:spacing w:line="240" w:lineRule="auto"/>
      </w:pPr>
      <w:r>
        <w:t xml:space="preserve">Varner, J., Lambert, M. S., Horns, J. J., Laverty, S., Dizney, L., Beever, E. A., &amp; Dearing, M. D. (2015). Too hot to trot? Evaluating the effects of wildfire on patterns of occupancy and abundance for a climate-sensitive habitat specialist. </w:t>
      </w:r>
      <w:r>
        <w:rPr>
          <w:i/>
          <w:iCs/>
        </w:rPr>
        <w:t>International Journal of Wildland Fire</w:t>
      </w:r>
      <w:r>
        <w:t xml:space="preserve">, </w:t>
      </w:r>
      <w:r>
        <w:rPr>
          <w:i/>
          <w:iCs/>
        </w:rPr>
        <w:t>24</w:t>
      </w:r>
      <w:r>
        <w:t>(7), 921–932. https://doi.org/10.1071/WF15038</w:t>
      </w:r>
    </w:p>
    <w:p w14:paraId="5B60A5D1">
      <w:pPr>
        <w:pStyle w:val="66"/>
        <w:spacing w:line="240" w:lineRule="auto"/>
      </w:pPr>
      <w:r>
        <w:t xml:space="preserve">Ward, M., Carwardine, J., Watson, J., Pintor, A., Stuart, S., Possingham, H., Rhodes, J., Carey, A., Auerbach, N., Reside, A., Yong, C., &amp; Tulloch, A. (2022). How to prioritize species recovery after a megafire. </w:t>
      </w:r>
      <w:r>
        <w:rPr>
          <w:i/>
          <w:iCs/>
        </w:rPr>
        <w:t>Conservation Biology</w:t>
      </w:r>
      <w:r>
        <w:t xml:space="preserve">, </w:t>
      </w:r>
      <w:r>
        <w:rPr>
          <w:i/>
          <w:iCs/>
        </w:rPr>
        <w:t>36</w:t>
      </w:r>
      <w:r>
        <w:t>. https://doi.org/10.1111/cobi.13936</w:t>
      </w:r>
    </w:p>
    <w:p w14:paraId="25C630FF">
      <w:pPr>
        <w:pStyle w:val="66"/>
        <w:spacing w:line="240" w:lineRule="auto"/>
      </w:pPr>
      <w:r>
        <w:t xml:space="preserve">Wood, S. N. (2017). </w:t>
      </w:r>
      <w:r>
        <w:rPr>
          <w:i/>
          <w:iCs/>
        </w:rPr>
        <w:t>Generalized Additive Models: An Introduction with R, Second Edition</w:t>
      </w:r>
      <w:r>
        <w:t xml:space="preserve"> (2nd ed.). Chapman and Hall/CRC. https://doi.org/10.1201/9781315370279</w:t>
      </w:r>
    </w:p>
    <w:p w14:paraId="3F5279F5">
      <w:pPr>
        <w:pStyle w:val="66"/>
        <w:spacing w:line="240" w:lineRule="auto"/>
      </w:pPr>
      <w:r>
        <w:t xml:space="preserve">Xu, Z., Li, J., Cheng, S., Rui, X., Zhao, Y., He, H., Guan, H., Sharma, A., Erxleben, M., Chang, R., &amp; Xu, L. L. (2025). Deep learning for wildfire risk prediction: Integrating remote sensing and environmental data. </w:t>
      </w:r>
      <w:r>
        <w:rPr>
          <w:i/>
          <w:iCs/>
        </w:rPr>
        <w:t>ISPRS Journal of Photogrammetry and Remote Sensing</w:t>
      </w:r>
      <w:r>
        <w:t xml:space="preserve">, </w:t>
      </w:r>
      <w:r>
        <w:rPr>
          <w:i/>
          <w:iCs/>
        </w:rPr>
        <w:t>227</w:t>
      </w:r>
      <w:r>
        <w:t>, 632–677. https://doi.org/10.1016/j.isprsjprs.2025.06.002</w:t>
      </w:r>
    </w:p>
    <w:p w14:paraId="5A1D853E">
      <w:pPr>
        <w:pStyle w:val="66"/>
        <w:spacing w:line="240" w:lineRule="auto"/>
      </w:pPr>
      <w:r>
        <w:t xml:space="preserve">Yue Chao, Luo Caifang, Shu Lifu, &amp; Shen, Z. (2020). A review on wildfire studies in the context of global change. </w:t>
      </w:r>
      <w:r>
        <w:rPr>
          <w:i/>
          <w:iCs/>
        </w:rPr>
        <w:t>Acta Ecologica Sinica</w:t>
      </w:r>
      <w:r>
        <w:t xml:space="preserve">, </w:t>
      </w:r>
      <w:r>
        <w:rPr>
          <w:i/>
          <w:iCs/>
        </w:rPr>
        <w:t>40</w:t>
      </w:r>
      <w:r>
        <w:t>, 385–401.</w:t>
      </w:r>
    </w:p>
    <w:p w14:paraId="398D822D">
      <w:pPr>
        <w:pStyle w:val="66"/>
        <w:spacing w:line="240" w:lineRule="auto"/>
      </w:pPr>
      <w:r>
        <w:t xml:space="preserve">Zabeo, C., Mengist, M., Ogunyemi, O., &amp; Barbati, A. (2025). Unveiling short-term variability in post-fire recovery of Mediterranean vegetation with Sentinel-2 time series analysis. </w:t>
      </w:r>
      <w:r>
        <w:rPr>
          <w:i/>
          <w:iCs/>
        </w:rPr>
        <w:t>Ecological Informatics</w:t>
      </w:r>
      <w:r>
        <w:t xml:space="preserve">, </w:t>
      </w:r>
      <w:r>
        <w:rPr>
          <w:i/>
          <w:iCs/>
        </w:rPr>
        <w:t>92</w:t>
      </w:r>
      <w:r>
        <w:t>, 103508. https://doi.org/10.1016/j.ecoinf.2025.103508</w:t>
      </w:r>
    </w:p>
    <w:p w14:paraId="04C7CC59">
      <w:pPr>
        <w:pStyle w:val="66"/>
        <w:spacing w:line="240" w:lineRule="auto"/>
      </w:pPr>
      <w:r>
        <w:t xml:space="preserve">Zheng X., Liu Y., Si L., Shu L., Chen F., Wang Q., Wang S., &amp; Zhang J. (2025). Research progress on effects of fire disturbance on stand structure and vegetation regeneration. </w:t>
      </w:r>
      <w:r>
        <w:rPr>
          <w:i/>
          <w:iCs/>
        </w:rPr>
        <w:t>Journal of Beijing Forestry University</w:t>
      </w:r>
      <w:r>
        <w:t xml:space="preserve">, </w:t>
      </w:r>
      <w:r>
        <w:rPr>
          <w:i/>
          <w:iCs/>
        </w:rPr>
        <w:t>47</w:t>
      </w:r>
      <w:r>
        <w:t>(1), 156–162. https://doi.org/10.12171/j.1000-1522.20240029</w:t>
      </w:r>
    </w:p>
    <w:p w14:paraId="27FBD54C">
      <w:pPr>
        <w:pStyle w:val="49"/>
        <w:numPr>
          <w:ilvl w:val="0"/>
          <w:numId w:val="0"/>
        </w:numPr>
        <w:spacing w:line="240" w:lineRule="auto"/>
        <w:rPr>
          <w:rFonts w:ascii="Times New Roman" w:hAnsi="Times New Roman" w:eastAsiaTheme="minorEastAsia"/>
          <w:sz w:val="24"/>
          <w:szCs w:val="24"/>
          <w:lang w:eastAsia="zh-CN"/>
        </w:rPr>
      </w:pPr>
      <w:r>
        <w:rPr>
          <w:rFonts w:ascii="Times New Roman" w:hAnsi="Times New Roman"/>
          <w:sz w:val="24"/>
          <w:szCs w:val="24"/>
        </w:rPr>
        <w:fldChar w:fldCharType="end"/>
      </w:r>
    </w:p>
    <w:sectPr>
      <w:headerReference r:id="rId7" w:type="first"/>
      <w:footerReference r:id="rId9" w:type="first"/>
      <w:headerReference r:id="rId5" w:type="default"/>
      <w:footerReference r:id="rId8" w:type="default"/>
      <w:headerReference r:id="rId6" w:type="even"/>
      <w:type w:val="continuous"/>
      <w:pgSz w:w="11906" w:h="16838"/>
      <w:pgMar w:top="1417" w:right="720" w:bottom="907" w:left="720" w:header="720" w:footer="612" w:gutter="0"/>
      <w:lnNumType w:countBy="1" w:distance="255" w:restart="continuous"/>
      <w:pgNumType w:start="1"/>
      <w:cols w:space="425" w:num="1"/>
      <w:titlePg/>
      <w:bidi/>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0" w:usb1="00000000" w:usb2="00000016" w:usb3="00000000" w:csb0="00040001" w:csb1="00000000"/>
  </w:font>
  <w:font w:name="SimSun">
    <w:altName w:val="汉仪书宋二KW"/>
    <w:panose1 w:val="00000000000000000000"/>
    <w:charset w:val="00"/>
    <w:family w:val="auto"/>
    <w:pitch w:val="default"/>
    <w:sig w:usb0="00000000" w:usb1="00000000" w:usb2="00000000" w:usb3="00000000" w:csb0="00000000" w:csb1="00000000"/>
  </w:font>
  <w:font w:name="Palatino Linotype">
    <w:altName w:val="苹方-简"/>
    <w:panose1 w:val="02040502050505030304"/>
    <w:charset w:val="00"/>
    <w:family w:val="roman"/>
    <w:pitch w:val="default"/>
    <w:sig w:usb0="00000000" w:usb1="00000000" w:usb2="00000000" w:usb3="00000000" w:csb0="0000019F" w:csb1="00000000"/>
  </w:font>
  <w:font w:name="Cordia New">
    <w:altName w:val="Microsoft Sans Serif"/>
    <w:panose1 w:val="020B0304020202020204"/>
    <w:charset w:val="DE"/>
    <w:family w:val="swiss"/>
    <w:pitch w:val="default"/>
    <w:sig w:usb0="00000000" w:usb1="00000000" w:usb2="00000000" w:usb3="00000000" w:csb0="00010001" w:csb1="00000000"/>
  </w:font>
  <w:font w:name="Symbol">
    <w:altName w:val="Kingsoft Sign"/>
    <w:panose1 w:val="05050102010706020507"/>
    <w:charset w:val="02"/>
    <w:family w:val="roman"/>
    <w:pitch w:val="default"/>
    <w:sig w:usb0="00000000" w:usb1="00000000" w:usb2="00000000" w:usb3="00000000" w:csb0="80000000" w:csb1="00000000"/>
  </w:font>
  <w:font w:name="Tahoma">
    <w:panose1 w:val="020B0604030504040204"/>
    <w:charset w:val="00"/>
    <w:family w:val="swiss"/>
    <w:pitch w:val="default"/>
    <w:sig w:usb0="E1002AFF" w:usb1="C000605B" w:usb2="00000029" w:usb3="00000000" w:csb0="200101FF" w:csb1="20280000"/>
  </w:font>
  <w:font w:name="DengXian">
    <w:altName w:val="汉仪中等线KW"/>
    <w:panose1 w:val="00000000000000000000"/>
    <w:charset w:val="00"/>
    <w:family w:val="auto"/>
    <w:pitch w:val="default"/>
    <w:sig w:usb0="00000000" w:usb1="00000000" w:usb2="00000000" w:usb3="00000000" w:csb0="00000000" w:csb1="00000000"/>
  </w:font>
  <w:font w:name="Cambria Math">
    <w:altName w:val="Kingsoft Math"/>
    <w:panose1 w:val="02040503050406030204"/>
    <w:charset w:val="00"/>
    <w:family w:val="roman"/>
    <w:pitch w:val="default"/>
    <w:sig w:usb0="00000000" w:usb1="00000000" w:usb2="02000000"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icrosoft Sans Serif">
    <w:panose1 w:val="020B0604020202020204"/>
    <w:charset w:val="00"/>
    <w:family w:val="auto"/>
    <w:pitch w:val="default"/>
    <w:sig w:usb0="E1002AFF" w:usb1="C0000002" w:usb2="00000008" w:usb3="00000000" w:csb0="200101FF" w:csb1="2028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EB0630">
    <w:pPr>
      <w:pStyle w:val="12"/>
      <w:spacing w:line="240" w:lineRule="auto"/>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45BE47">
    <w:pPr>
      <w:tabs>
        <w:tab w:val="right" w:pos="10466"/>
      </w:tabs>
      <w:spacing w:line="240" w:lineRule="auto"/>
      <w:rPr>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A24F75">
    <w:pPr>
      <w:tabs>
        <w:tab w:val="right" w:pos="10466"/>
      </w:tabs>
      <w:adjustRightInd w:val="0"/>
      <w:snapToGrid w:val="0"/>
      <w:spacing w:line="240" w:lineRule="auto"/>
      <w:rPr>
        <w:sz w:val="16"/>
      </w:rPr>
    </w:pPr>
    <w:r>
      <w:rPr>
        <w:sz w:val="16"/>
      </w:rPr>
      <w:ptab w:relativeTo="margin" w:alignment="right" w:leader="non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13FB32">
    <w:pPr>
      <w:pStyle w:val="14"/>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9C8813">
    <w:pPr>
      <w:pBdr>
        <w:bottom w:val="single" w:color="000000" w:sz="4" w:space="1"/>
      </w:pBdr>
      <w:adjustRightInd w:val="0"/>
      <w:snapToGrid w:val="0"/>
      <w:spacing w:before="120" w:line="100" w:lineRule="exact"/>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FA36F1"/>
    <w:multiLevelType w:val="multilevel"/>
    <w:tmpl w:val="00FA36F1"/>
    <w:lvl w:ilvl="0" w:tentative="0">
      <w:start w:val="1"/>
      <w:numFmt w:val="decimal"/>
      <w:pStyle w:val="74"/>
      <w:lvlText w:val="%1."/>
      <w:lvlJc w:val="left"/>
      <w:pPr>
        <w:ind w:left="425" w:hanging="425"/>
      </w:pPr>
      <w:rPr>
        <w:vertAlign w:val="superscrip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8B468F5"/>
    <w:multiLevelType w:val="multilevel"/>
    <w:tmpl w:val="18B468F5"/>
    <w:lvl w:ilvl="0" w:tentative="0">
      <w:start w:val="1"/>
      <w:numFmt w:val="bullet"/>
      <w:pStyle w:val="38"/>
      <w:lvlText w:val=""/>
      <w:lvlJc w:val="left"/>
      <w:pPr>
        <w:ind w:left="3033" w:hanging="425"/>
      </w:pPr>
      <w:rPr>
        <w:rFonts w:hint="default" w:ascii="Symbol" w:hAnsi="Symbol"/>
        <w:b w:val="0"/>
        <w:i w:val="0"/>
        <w:sz w:val="20"/>
        <w:vertAlign w:val="baseline"/>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78C3EEA"/>
    <w:multiLevelType w:val="multilevel"/>
    <w:tmpl w:val="378C3EEA"/>
    <w:lvl w:ilvl="0" w:tentative="0">
      <w:start w:val="1"/>
      <w:numFmt w:val="decimal"/>
      <w:pStyle w:val="49"/>
      <w:lvlText w:val="%1."/>
      <w:lvlJc w:val="left"/>
      <w:pPr>
        <w:ind w:left="425" w:hanging="425"/>
      </w:pPr>
      <w:rPr>
        <w:b w:val="0"/>
        <w:i w:val="0"/>
        <w:sz w:val="20"/>
        <w:vertAlign w:val="baseline"/>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392B54D3"/>
    <w:multiLevelType w:val="multilevel"/>
    <w:tmpl w:val="392B54D3"/>
    <w:lvl w:ilvl="0" w:tentative="0">
      <w:start w:val="1"/>
      <w:numFmt w:val="decimal"/>
      <w:pStyle w:val="37"/>
      <w:lvlText w:val="%1."/>
      <w:lvlJc w:val="left"/>
      <w:pPr>
        <w:ind w:left="3033" w:hanging="425"/>
      </w:pPr>
      <w:rPr>
        <w:b w:val="0"/>
        <w:i w:val="0"/>
        <w:sz w:val="20"/>
        <w:vertAlign w:val="baseline"/>
      </w:rPr>
    </w:lvl>
    <w:lvl w:ilvl="1" w:tentative="0">
      <w:start w:val="1"/>
      <w:numFmt w:val="lowerLetter"/>
      <w:lvlText w:val="%2."/>
      <w:lvlJc w:val="left"/>
      <w:pPr>
        <w:ind w:left="4048" w:hanging="360"/>
      </w:pPr>
    </w:lvl>
    <w:lvl w:ilvl="2" w:tentative="0">
      <w:start w:val="1"/>
      <w:numFmt w:val="lowerRoman"/>
      <w:lvlText w:val="%3."/>
      <w:lvlJc w:val="right"/>
      <w:pPr>
        <w:ind w:left="4768" w:hanging="180"/>
      </w:pPr>
    </w:lvl>
    <w:lvl w:ilvl="3" w:tentative="0">
      <w:start w:val="1"/>
      <w:numFmt w:val="decimal"/>
      <w:lvlText w:val="%4."/>
      <w:lvlJc w:val="left"/>
      <w:pPr>
        <w:ind w:left="5488" w:hanging="360"/>
      </w:pPr>
    </w:lvl>
    <w:lvl w:ilvl="4" w:tentative="0">
      <w:start w:val="1"/>
      <w:numFmt w:val="lowerLetter"/>
      <w:lvlText w:val="%5."/>
      <w:lvlJc w:val="left"/>
      <w:pPr>
        <w:ind w:left="6208" w:hanging="360"/>
      </w:pPr>
    </w:lvl>
    <w:lvl w:ilvl="5" w:tentative="0">
      <w:start w:val="1"/>
      <w:numFmt w:val="lowerRoman"/>
      <w:lvlText w:val="%6."/>
      <w:lvlJc w:val="right"/>
      <w:pPr>
        <w:ind w:left="6928" w:hanging="180"/>
      </w:pPr>
    </w:lvl>
    <w:lvl w:ilvl="6" w:tentative="0">
      <w:start w:val="1"/>
      <w:numFmt w:val="decimal"/>
      <w:lvlText w:val="%7."/>
      <w:lvlJc w:val="left"/>
      <w:pPr>
        <w:ind w:left="7648" w:hanging="360"/>
      </w:pPr>
    </w:lvl>
    <w:lvl w:ilvl="7" w:tentative="0">
      <w:start w:val="1"/>
      <w:numFmt w:val="lowerLetter"/>
      <w:lvlText w:val="%8."/>
      <w:lvlJc w:val="left"/>
      <w:pPr>
        <w:ind w:left="8368" w:hanging="360"/>
      </w:pPr>
    </w:lvl>
    <w:lvl w:ilvl="8" w:tentative="0">
      <w:start w:val="1"/>
      <w:numFmt w:val="lowerRoman"/>
      <w:lvlText w:val="%9."/>
      <w:lvlJc w:val="right"/>
      <w:pPr>
        <w:ind w:left="9088"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5"/>
  <w:bordersDoNotSurroundHeader w:val="1"/>
  <w:bordersDoNotSurroundFooter w:val="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attachedTemplate r:id="rId1"/>
  <w:documentProtection w:enforcement="0"/>
  <w:defaultTabStop w:val="510"/>
  <w:autoHyphenation/>
  <w:drawingGridHorizontalSpacing w:val="10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0120"/>
    <w:rsid w:val="00001105"/>
    <w:rsid w:val="0000116C"/>
    <w:rsid w:val="00001279"/>
    <w:rsid w:val="00011790"/>
    <w:rsid w:val="00011A8F"/>
    <w:rsid w:val="00011DEF"/>
    <w:rsid w:val="00012216"/>
    <w:rsid w:val="0001568A"/>
    <w:rsid w:val="00023C28"/>
    <w:rsid w:val="00026033"/>
    <w:rsid w:val="00027A3A"/>
    <w:rsid w:val="00030723"/>
    <w:rsid w:val="00033103"/>
    <w:rsid w:val="00036551"/>
    <w:rsid w:val="00046F7B"/>
    <w:rsid w:val="00054553"/>
    <w:rsid w:val="000576D6"/>
    <w:rsid w:val="00060815"/>
    <w:rsid w:val="0006599F"/>
    <w:rsid w:val="00065E4D"/>
    <w:rsid w:val="00067F73"/>
    <w:rsid w:val="00073170"/>
    <w:rsid w:val="00073B44"/>
    <w:rsid w:val="000748CA"/>
    <w:rsid w:val="0007718C"/>
    <w:rsid w:val="00082B6F"/>
    <w:rsid w:val="00091C0A"/>
    <w:rsid w:val="000920CF"/>
    <w:rsid w:val="0009228B"/>
    <w:rsid w:val="00094051"/>
    <w:rsid w:val="000957FF"/>
    <w:rsid w:val="00096B94"/>
    <w:rsid w:val="00096DE6"/>
    <w:rsid w:val="000A00AB"/>
    <w:rsid w:val="000A0574"/>
    <w:rsid w:val="000A28AF"/>
    <w:rsid w:val="000A45D0"/>
    <w:rsid w:val="000A7036"/>
    <w:rsid w:val="000B00EB"/>
    <w:rsid w:val="000B6930"/>
    <w:rsid w:val="000B6E9D"/>
    <w:rsid w:val="000C3591"/>
    <w:rsid w:val="000C3628"/>
    <w:rsid w:val="000C5F5E"/>
    <w:rsid w:val="000C6083"/>
    <w:rsid w:val="000D5A7D"/>
    <w:rsid w:val="000D5A96"/>
    <w:rsid w:val="000D66EC"/>
    <w:rsid w:val="000D6A6E"/>
    <w:rsid w:val="000E4232"/>
    <w:rsid w:val="000E503E"/>
    <w:rsid w:val="000E58A5"/>
    <w:rsid w:val="000E5C77"/>
    <w:rsid w:val="000F2562"/>
    <w:rsid w:val="000F46DC"/>
    <w:rsid w:val="000F6A97"/>
    <w:rsid w:val="00102320"/>
    <w:rsid w:val="00104BAB"/>
    <w:rsid w:val="00107465"/>
    <w:rsid w:val="001103DD"/>
    <w:rsid w:val="001107F8"/>
    <w:rsid w:val="001109C2"/>
    <w:rsid w:val="00114184"/>
    <w:rsid w:val="00125CD1"/>
    <w:rsid w:val="00126029"/>
    <w:rsid w:val="00134EC4"/>
    <w:rsid w:val="00135A7C"/>
    <w:rsid w:val="001361D0"/>
    <w:rsid w:val="0014356F"/>
    <w:rsid w:val="001439DF"/>
    <w:rsid w:val="00144A9D"/>
    <w:rsid w:val="00144FF8"/>
    <w:rsid w:val="00145F02"/>
    <w:rsid w:val="001475AC"/>
    <w:rsid w:val="001511AA"/>
    <w:rsid w:val="00156567"/>
    <w:rsid w:val="00157A6B"/>
    <w:rsid w:val="00157B2F"/>
    <w:rsid w:val="00161119"/>
    <w:rsid w:val="001800EE"/>
    <w:rsid w:val="0018353A"/>
    <w:rsid w:val="00185E1B"/>
    <w:rsid w:val="001875EE"/>
    <w:rsid w:val="0019088E"/>
    <w:rsid w:val="00190B90"/>
    <w:rsid w:val="00193755"/>
    <w:rsid w:val="0019492E"/>
    <w:rsid w:val="0019732F"/>
    <w:rsid w:val="001975BB"/>
    <w:rsid w:val="001A0BC1"/>
    <w:rsid w:val="001A4AD5"/>
    <w:rsid w:val="001A4E10"/>
    <w:rsid w:val="001A4F98"/>
    <w:rsid w:val="001A5221"/>
    <w:rsid w:val="001A649B"/>
    <w:rsid w:val="001B00FB"/>
    <w:rsid w:val="001B51E8"/>
    <w:rsid w:val="001B581E"/>
    <w:rsid w:val="001C0CC4"/>
    <w:rsid w:val="001C39A0"/>
    <w:rsid w:val="001C5201"/>
    <w:rsid w:val="001D7269"/>
    <w:rsid w:val="001E1C24"/>
    <w:rsid w:val="001E2AEB"/>
    <w:rsid w:val="001E389F"/>
    <w:rsid w:val="001F1758"/>
    <w:rsid w:val="001F18FB"/>
    <w:rsid w:val="001F4131"/>
    <w:rsid w:val="00203272"/>
    <w:rsid w:val="00203D79"/>
    <w:rsid w:val="00204A6E"/>
    <w:rsid w:val="00205AEE"/>
    <w:rsid w:val="00206196"/>
    <w:rsid w:val="00207755"/>
    <w:rsid w:val="00211546"/>
    <w:rsid w:val="00213211"/>
    <w:rsid w:val="0022012B"/>
    <w:rsid w:val="002213BB"/>
    <w:rsid w:val="00225637"/>
    <w:rsid w:val="00227971"/>
    <w:rsid w:val="002324A6"/>
    <w:rsid w:val="002364AD"/>
    <w:rsid w:val="00237739"/>
    <w:rsid w:val="00245FFF"/>
    <w:rsid w:val="00247B85"/>
    <w:rsid w:val="00247CF3"/>
    <w:rsid w:val="00251049"/>
    <w:rsid w:val="00254C2E"/>
    <w:rsid w:val="0026261E"/>
    <w:rsid w:val="002641CB"/>
    <w:rsid w:val="00266B0E"/>
    <w:rsid w:val="0027137B"/>
    <w:rsid w:val="002723D1"/>
    <w:rsid w:val="00272F9B"/>
    <w:rsid w:val="00274CA1"/>
    <w:rsid w:val="0027551F"/>
    <w:rsid w:val="00276BA6"/>
    <w:rsid w:val="00276C12"/>
    <w:rsid w:val="002777FC"/>
    <w:rsid w:val="002872F6"/>
    <w:rsid w:val="00287643"/>
    <w:rsid w:val="0029360E"/>
    <w:rsid w:val="00295161"/>
    <w:rsid w:val="002A0273"/>
    <w:rsid w:val="002A1F0E"/>
    <w:rsid w:val="002A5A6F"/>
    <w:rsid w:val="002A5D85"/>
    <w:rsid w:val="002B3D35"/>
    <w:rsid w:val="002B3D75"/>
    <w:rsid w:val="002B5A21"/>
    <w:rsid w:val="002B6F87"/>
    <w:rsid w:val="002C0EDA"/>
    <w:rsid w:val="002C359B"/>
    <w:rsid w:val="002C52F7"/>
    <w:rsid w:val="002C7E1A"/>
    <w:rsid w:val="002D651A"/>
    <w:rsid w:val="002E0062"/>
    <w:rsid w:val="002E19E0"/>
    <w:rsid w:val="002F4905"/>
    <w:rsid w:val="002F5424"/>
    <w:rsid w:val="002F6114"/>
    <w:rsid w:val="00300A8D"/>
    <w:rsid w:val="00304E22"/>
    <w:rsid w:val="0031245A"/>
    <w:rsid w:val="00316741"/>
    <w:rsid w:val="0031792D"/>
    <w:rsid w:val="00322E00"/>
    <w:rsid w:val="00323EB3"/>
    <w:rsid w:val="00326141"/>
    <w:rsid w:val="003278E6"/>
    <w:rsid w:val="00331BF9"/>
    <w:rsid w:val="00335D85"/>
    <w:rsid w:val="00336939"/>
    <w:rsid w:val="003377B4"/>
    <w:rsid w:val="003456BF"/>
    <w:rsid w:val="0035397E"/>
    <w:rsid w:val="0036156D"/>
    <w:rsid w:val="00362176"/>
    <w:rsid w:val="00363DBD"/>
    <w:rsid w:val="003669E6"/>
    <w:rsid w:val="00367CC6"/>
    <w:rsid w:val="0037068B"/>
    <w:rsid w:val="0037159F"/>
    <w:rsid w:val="00371CC8"/>
    <w:rsid w:val="003932B8"/>
    <w:rsid w:val="00397F05"/>
    <w:rsid w:val="003A4C39"/>
    <w:rsid w:val="003A6757"/>
    <w:rsid w:val="003B4641"/>
    <w:rsid w:val="003C0E65"/>
    <w:rsid w:val="003C4EC1"/>
    <w:rsid w:val="003C5AEA"/>
    <w:rsid w:val="003C5E55"/>
    <w:rsid w:val="003C6D4F"/>
    <w:rsid w:val="003D0CFB"/>
    <w:rsid w:val="003D0EFA"/>
    <w:rsid w:val="003D5317"/>
    <w:rsid w:val="003D6EFE"/>
    <w:rsid w:val="003D7501"/>
    <w:rsid w:val="003E4048"/>
    <w:rsid w:val="003F3A7D"/>
    <w:rsid w:val="003F3E86"/>
    <w:rsid w:val="003F5C58"/>
    <w:rsid w:val="003F656F"/>
    <w:rsid w:val="00401D30"/>
    <w:rsid w:val="0040267F"/>
    <w:rsid w:val="004036F1"/>
    <w:rsid w:val="00413FDE"/>
    <w:rsid w:val="004151B7"/>
    <w:rsid w:val="00417609"/>
    <w:rsid w:val="004222AC"/>
    <w:rsid w:val="004232EF"/>
    <w:rsid w:val="004245E0"/>
    <w:rsid w:val="004266D6"/>
    <w:rsid w:val="00426F7A"/>
    <w:rsid w:val="00431761"/>
    <w:rsid w:val="004328EA"/>
    <w:rsid w:val="00434E66"/>
    <w:rsid w:val="004367DA"/>
    <w:rsid w:val="0044239D"/>
    <w:rsid w:val="00442FFA"/>
    <w:rsid w:val="00450032"/>
    <w:rsid w:val="00451EA7"/>
    <w:rsid w:val="00452ECA"/>
    <w:rsid w:val="004535BF"/>
    <w:rsid w:val="00457B1F"/>
    <w:rsid w:val="004617A0"/>
    <w:rsid w:val="00464103"/>
    <w:rsid w:val="00464750"/>
    <w:rsid w:val="00464D3C"/>
    <w:rsid w:val="00473EC7"/>
    <w:rsid w:val="00474FFC"/>
    <w:rsid w:val="00476B5E"/>
    <w:rsid w:val="00482003"/>
    <w:rsid w:val="00486215"/>
    <w:rsid w:val="0048647E"/>
    <w:rsid w:val="00487DB2"/>
    <w:rsid w:val="004915E3"/>
    <w:rsid w:val="00493F91"/>
    <w:rsid w:val="00497079"/>
    <w:rsid w:val="00497B90"/>
    <w:rsid w:val="004A551A"/>
    <w:rsid w:val="004A61C0"/>
    <w:rsid w:val="004B0E1A"/>
    <w:rsid w:val="004B636E"/>
    <w:rsid w:val="004B72DC"/>
    <w:rsid w:val="004C269F"/>
    <w:rsid w:val="004C3C8E"/>
    <w:rsid w:val="004C41AE"/>
    <w:rsid w:val="004C490E"/>
    <w:rsid w:val="004C4E50"/>
    <w:rsid w:val="004D2247"/>
    <w:rsid w:val="004D253C"/>
    <w:rsid w:val="004E204E"/>
    <w:rsid w:val="004E5ADD"/>
    <w:rsid w:val="004E61E3"/>
    <w:rsid w:val="004E7F97"/>
    <w:rsid w:val="004F556D"/>
    <w:rsid w:val="00504B36"/>
    <w:rsid w:val="0051120E"/>
    <w:rsid w:val="005131B8"/>
    <w:rsid w:val="0051433B"/>
    <w:rsid w:val="005167FA"/>
    <w:rsid w:val="00517038"/>
    <w:rsid w:val="00522122"/>
    <w:rsid w:val="005236FB"/>
    <w:rsid w:val="00524B85"/>
    <w:rsid w:val="0053077B"/>
    <w:rsid w:val="00536B9B"/>
    <w:rsid w:val="00536BEA"/>
    <w:rsid w:val="00545B32"/>
    <w:rsid w:val="00545EBD"/>
    <w:rsid w:val="00546250"/>
    <w:rsid w:val="0054653E"/>
    <w:rsid w:val="0054776C"/>
    <w:rsid w:val="00553331"/>
    <w:rsid w:val="005572CE"/>
    <w:rsid w:val="005578D0"/>
    <w:rsid w:val="0056188F"/>
    <w:rsid w:val="00574F2C"/>
    <w:rsid w:val="005759DD"/>
    <w:rsid w:val="005763BA"/>
    <w:rsid w:val="00576C2D"/>
    <w:rsid w:val="005820D8"/>
    <w:rsid w:val="005B1C70"/>
    <w:rsid w:val="005B3BA2"/>
    <w:rsid w:val="005B7494"/>
    <w:rsid w:val="005C2E60"/>
    <w:rsid w:val="005C3DED"/>
    <w:rsid w:val="005D2774"/>
    <w:rsid w:val="005E2668"/>
    <w:rsid w:val="005E2FB0"/>
    <w:rsid w:val="005E4200"/>
    <w:rsid w:val="005E78BB"/>
    <w:rsid w:val="0060139B"/>
    <w:rsid w:val="0060579C"/>
    <w:rsid w:val="00606FEB"/>
    <w:rsid w:val="006130BD"/>
    <w:rsid w:val="00616968"/>
    <w:rsid w:val="006169BC"/>
    <w:rsid w:val="006172E3"/>
    <w:rsid w:val="00626AD1"/>
    <w:rsid w:val="0063409E"/>
    <w:rsid w:val="0063576F"/>
    <w:rsid w:val="00636332"/>
    <w:rsid w:val="00637345"/>
    <w:rsid w:val="00637D70"/>
    <w:rsid w:val="006406D2"/>
    <w:rsid w:val="00646C68"/>
    <w:rsid w:val="00651581"/>
    <w:rsid w:val="006655BF"/>
    <w:rsid w:val="0066633D"/>
    <w:rsid w:val="0066745C"/>
    <w:rsid w:val="0067348C"/>
    <w:rsid w:val="0067753B"/>
    <w:rsid w:val="00681ECB"/>
    <w:rsid w:val="00684288"/>
    <w:rsid w:val="00692393"/>
    <w:rsid w:val="00695D16"/>
    <w:rsid w:val="00695EB7"/>
    <w:rsid w:val="0069664F"/>
    <w:rsid w:val="006A3949"/>
    <w:rsid w:val="006A6CCB"/>
    <w:rsid w:val="006B2670"/>
    <w:rsid w:val="006B334C"/>
    <w:rsid w:val="006B3489"/>
    <w:rsid w:val="006B420C"/>
    <w:rsid w:val="006B7B75"/>
    <w:rsid w:val="006C0FCC"/>
    <w:rsid w:val="006C60ED"/>
    <w:rsid w:val="006D1B83"/>
    <w:rsid w:val="006D22B0"/>
    <w:rsid w:val="006D78C3"/>
    <w:rsid w:val="006E1E0E"/>
    <w:rsid w:val="006E28DF"/>
    <w:rsid w:val="006E7890"/>
    <w:rsid w:val="006F0761"/>
    <w:rsid w:val="006F0992"/>
    <w:rsid w:val="006F420C"/>
    <w:rsid w:val="006F5D8B"/>
    <w:rsid w:val="006F74F8"/>
    <w:rsid w:val="006F7580"/>
    <w:rsid w:val="00700E72"/>
    <w:rsid w:val="0070362E"/>
    <w:rsid w:val="0070545A"/>
    <w:rsid w:val="007119B8"/>
    <w:rsid w:val="00713AA0"/>
    <w:rsid w:val="00714010"/>
    <w:rsid w:val="00722FE3"/>
    <w:rsid w:val="00723F83"/>
    <w:rsid w:val="00724E86"/>
    <w:rsid w:val="0072614C"/>
    <w:rsid w:val="0073637F"/>
    <w:rsid w:val="0073661F"/>
    <w:rsid w:val="00740B55"/>
    <w:rsid w:val="0074229F"/>
    <w:rsid w:val="00742351"/>
    <w:rsid w:val="007474B9"/>
    <w:rsid w:val="007474F4"/>
    <w:rsid w:val="00751CC9"/>
    <w:rsid w:val="00755C64"/>
    <w:rsid w:val="00760FB0"/>
    <w:rsid w:val="007650A1"/>
    <w:rsid w:val="007665CB"/>
    <w:rsid w:val="00770466"/>
    <w:rsid w:val="00770537"/>
    <w:rsid w:val="0077477C"/>
    <w:rsid w:val="0077721D"/>
    <w:rsid w:val="007775FF"/>
    <w:rsid w:val="00777B91"/>
    <w:rsid w:val="00777DE7"/>
    <w:rsid w:val="00781074"/>
    <w:rsid w:val="00782E7E"/>
    <w:rsid w:val="007831BB"/>
    <w:rsid w:val="00785EAE"/>
    <w:rsid w:val="00792A8B"/>
    <w:rsid w:val="00793C9D"/>
    <w:rsid w:val="00793ED4"/>
    <w:rsid w:val="007A22CB"/>
    <w:rsid w:val="007A4777"/>
    <w:rsid w:val="007A6EA9"/>
    <w:rsid w:val="007B2023"/>
    <w:rsid w:val="007B3872"/>
    <w:rsid w:val="007C5712"/>
    <w:rsid w:val="007D1C68"/>
    <w:rsid w:val="007E141F"/>
    <w:rsid w:val="007E4391"/>
    <w:rsid w:val="007F0E7A"/>
    <w:rsid w:val="007F116E"/>
    <w:rsid w:val="007F1A90"/>
    <w:rsid w:val="007F2359"/>
    <w:rsid w:val="007F408F"/>
    <w:rsid w:val="007F6D70"/>
    <w:rsid w:val="007F761C"/>
    <w:rsid w:val="00801D98"/>
    <w:rsid w:val="00804FB1"/>
    <w:rsid w:val="00810946"/>
    <w:rsid w:val="00811677"/>
    <w:rsid w:val="00821DDB"/>
    <w:rsid w:val="00824CC8"/>
    <w:rsid w:val="00827E6F"/>
    <w:rsid w:val="008311BF"/>
    <w:rsid w:val="008335A5"/>
    <w:rsid w:val="00840EB6"/>
    <w:rsid w:val="008436DD"/>
    <w:rsid w:val="00847FD9"/>
    <w:rsid w:val="00857434"/>
    <w:rsid w:val="00865AC6"/>
    <w:rsid w:val="00866CEB"/>
    <w:rsid w:val="0086728C"/>
    <w:rsid w:val="00867A36"/>
    <w:rsid w:val="00876CFD"/>
    <w:rsid w:val="00881DDB"/>
    <w:rsid w:val="00890D3E"/>
    <w:rsid w:val="00891026"/>
    <w:rsid w:val="00893A04"/>
    <w:rsid w:val="00895044"/>
    <w:rsid w:val="008A69EF"/>
    <w:rsid w:val="008B0C7D"/>
    <w:rsid w:val="008B32C2"/>
    <w:rsid w:val="008B3434"/>
    <w:rsid w:val="008C25AC"/>
    <w:rsid w:val="008C25EE"/>
    <w:rsid w:val="008C28E1"/>
    <w:rsid w:val="008C2B22"/>
    <w:rsid w:val="008C4125"/>
    <w:rsid w:val="008C5543"/>
    <w:rsid w:val="008C5CDC"/>
    <w:rsid w:val="008C6093"/>
    <w:rsid w:val="008C741E"/>
    <w:rsid w:val="008D0C33"/>
    <w:rsid w:val="008D207C"/>
    <w:rsid w:val="008D20FE"/>
    <w:rsid w:val="008D23D2"/>
    <w:rsid w:val="008D7355"/>
    <w:rsid w:val="008D7A94"/>
    <w:rsid w:val="008D7FE1"/>
    <w:rsid w:val="008E0A58"/>
    <w:rsid w:val="008E19D9"/>
    <w:rsid w:val="008F0167"/>
    <w:rsid w:val="008F1CB5"/>
    <w:rsid w:val="008F35AE"/>
    <w:rsid w:val="00914A3C"/>
    <w:rsid w:val="00914D66"/>
    <w:rsid w:val="009163DE"/>
    <w:rsid w:val="00920B66"/>
    <w:rsid w:val="00924EFD"/>
    <w:rsid w:val="00932281"/>
    <w:rsid w:val="00933F1B"/>
    <w:rsid w:val="009363D5"/>
    <w:rsid w:val="00955546"/>
    <w:rsid w:val="00955E7D"/>
    <w:rsid w:val="00960212"/>
    <w:rsid w:val="0096340F"/>
    <w:rsid w:val="00963D06"/>
    <w:rsid w:val="009709B8"/>
    <w:rsid w:val="009768FE"/>
    <w:rsid w:val="00977B21"/>
    <w:rsid w:val="00977B78"/>
    <w:rsid w:val="00987B63"/>
    <w:rsid w:val="009912C5"/>
    <w:rsid w:val="00991AEB"/>
    <w:rsid w:val="0099337D"/>
    <w:rsid w:val="009B3FEA"/>
    <w:rsid w:val="009B4F95"/>
    <w:rsid w:val="009B547D"/>
    <w:rsid w:val="009B7215"/>
    <w:rsid w:val="009C499C"/>
    <w:rsid w:val="009C70C1"/>
    <w:rsid w:val="009C7216"/>
    <w:rsid w:val="009D0A6C"/>
    <w:rsid w:val="009D15B9"/>
    <w:rsid w:val="009D4373"/>
    <w:rsid w:val="009E2650"/>
    <w:rsid w:val="009F2B1C"/>
    <w:rsid w:val="009F70E6"/>
    <w:rsid w:val="00A04347"/>
    <w:rsid w:val="00A05996"/>
    <w:rsid w:val="00A069CB"/>
    <w:rsid w:val="00A12E3B"/>
    <w:rsid w:val="00A14715"/>
    <w:rsid w:val="00A16022"/>
    <w:rsid w:val="00A16679"/>
    <w:rsid w:val="00A17FAB"/>
    <w:rsid w:val="00A20A2F"/>
    <w:rsid w:val="00A21473"/>
    <w:rsid w:val="00A22449"/>
    <w:rsid w:val="00A2564F"/>
    <w:rsid w:val="00A262AA"/>
    <w:rsid w:val="00A30036"/>
    <w:rsid w:val="00A331B6"/>
    <w:rsid w:val="00A3537F"/>
    <w:rsid w:val="00A360A1"/>
    <w:rsid w:val="00A370FE"/>
    <w:rsid w:val="00A37E56"/>
    <w:rsid w:val="00A402F8"/>
    <w:rsid w:val="00A46D6C"/>
    <w:rsid w:val="00A51C24"/>
    <w:rsid w:val="00A540A8"/>
    <w:rsid w:val="00A61C10"/>
    <w:rsid w:val="00A62C5E"/>
    <w:rsid w:val="00A71945"/>
    <w:rsid w:val="00A72A30"/>
    <w:rsid w:val="00A74CFC"/>
    <w:rsid w:val="00A813C8"/>
    <w:rsid w:val="00A845AF"/>
    <w:rsid w:val="00A900CE"/>
    <w:rsid w:val="00A94FCE"/>
    <w:rsid w:val="00A96C30"/>
    <w:rsid w:val="00AA0B13"/>
    <w:rsid w:val="00AA2E1D"/>
    <w:rsid w:val="00AA5317"/>
    <w:rsid w:val="00AA602B"/>
    <w:rsid w:val="00AA6E73"/>
    <w:rsid w:val="00AB1222"/>
    <w:rsid w:val="00AB4CCE"/>
    <w:rsid w:val="00AB6C80"/>
    <w:rsid w:val="00AC7FDF"/>
    <w:rsid w:val="00AD26F7"/>
    <w:rsid w:val="00AD5B77"/>
    <w:rsid w:val="00AE32D2"/>
    <w:rsid w:val="00AE68C5"/>
    <w:rsid w:val="00AF4EF0"/>
    <w:rsid w:val="00AF671C"/>
    <w:rsid w:val="00B0026D"/>
    <w:rsid w:val="00B05738"/>
    <w:rsid w:val="00B061C3"/>
    <w:rsid w:val="00B1087A"/>
    <w:rsid w:val="00B111D1"/>
    <w:rsid w:val="00B121F4"/>
    <w:rsid w:val="00B219C9"/>
    <w:rsid w:val="00B33A56"/>
    <w:rsid w:val="00B364D8"/>
    <w:rsid w:val="00B373B7"/>
    <w:rsid w:val="00B374DB"/>
    <w:rsid w:val="00B4058E"/>
    <w:rsid w:val="00B438D1"/>
    <w:rsid w:val="00B46B46"/>
    <w:rsid w:val="00B52393"/>
    <w:rsid w:val="00B56823"/>
    <w:rsid w:val="00B57424"/>
    <w:rsid w:val="00B61837"/>
    <w:rsid w:val="00B63CC6"/>
    <w:rsid w:val="00B65129"/>
    <w:rsid w:val="00B75A3E"/>
    <w:rsid w:val="00B80870"/>
    <w:rsid w:val="00B81D13"/>
    <w:rsid w:val="00B83869"/>
    <w:rsid w:val="00B878CC"/>
    <w:rsid w:val="00B90C8C"/>
    <w:rsid w:val="00B910B8"/>
    <w:rsid w:val="00B93938"/>
    <w:rsid w:val="00B96970"/>
    <w:rsid w:val="00BA0371"/>
    <w:rsid w:val="00BA22F7"/>
    <w:rsid w:val="00BA54C3"/>
    <w:rsid w:val="00BA7024"/>
    <w:rsid w:val="00BA71DD"/>
    <w:rsid w:val="00BB1571"/>
    <w:rsid w:val="00BB5CD0"/>
    <w:rsid w:val="00BC17A1"/>
    <w:rsid w:val="00BC20AA"/>
    <w:rsid w:val="00BC2AC8"/>
    <w:rsid w:val="00BD22A7"/>
    <w:rsid w:val="00BD7FC8"/>
    <w:rsid w:val="00BE19D2"/>
    <w:rsid w:val="00BE1F49"/>
    <w:rsid w:val="00BE3AD4"/>
    <w:rsid w:val="00BE611E"/>
    <w:rsid w:val="00BE6753"/>
    <w:rsid w:val="00BE7063"/>
    <w:rsid w:val="00BE7A5F"/>
    <w:rsid w:val="00C04336"/>
    <w:rsid w:val="00C06B3C"/>
    <w:rsid w:val="00C079B4"/>
    <w:rsid w:val="00C17A75"/>
    <w:rsid w:val="00C213D7"/>
    <w:rsid w:val="00C40291"/>
    <w:rsid w:val="00C403AE"/>
    <w:rsid w:val="00C40A53"/>
    <w:rsid w:val="00C46924"/>
    <w:rsid w:val="00C5060F"/>
    <w:rsid w:val="00C5082F"/>
    <w:rsid w:val="00C52865"/>
    <w:rsid w:val="00C5334B"/>
    <w:rsid w:val="00C56DF6"/>
    <w:rsid w:val="00C62805"/>
    <w:rsid w:val="00C6375F"/>
    <w:rsid w:val="00C64633"/>
    <w:rsid w:val="00C8335D"/>
    <w:rsid w:val="00C83B9B"/>
    <w:rsid w:val="00C87E52"/>
    <w:rsid w:val="00C90CF7"/>
    <w:rsid w:val="00C91E1D"/>
    <w:rsid w:val="00C92042"/>
    <w:rsid w:val="00C94239"/>
    <w:rsid w:val="00C94666"/>
    <w:rsid w:val="00C9654A"/>
    <w:rsid w:val="00C969E8"/>
    <w:rsid w:val="00C96EF1"/>
    <w:rsid w:val="00C97431"/>
    <w:rsid w:val="00CB03BE"/>
    <w:rsid w:val="00CB0BDA"/>
    <w:rsid w:val="00CB30C1"/>
    <w:rsid w:val="00CB4AD1"/>
    <w:rsid w:val="00CB4DCB"/>
    <w:rsid w:val="00CB5B68"/>
    <w:rsid w:val="00CC2142"/>
    <w:rsid w:val="00CC48E5"/>
    <w:rsid w:val="00CC6741"/>
    <w:rsid w:val="00CD1F36"/>
    <w:rsid w:val="00CD6D43"/>
    <w:rsid w:val="00CE436B"/>
    <w:rsid w:val="00CF23B5"/>
    <w:rsid w:val="00D036B6"/>
    <w:rsid w:val="00D05FCC"/>
    <w:rsid w:val="00D15C02"/>
    <w:rsid w:val="00D15C58"/>
    <w:rsid w:val="00D2082A"/>
    <w:rsid w:val="00D217C3"/>
    <w:rsid w:val="00D2224C"/>
    <w:rsid w:val="00D255AB"/>
    <w:rsid w:val="00D27A92"/>
    <w:rsid w:val="00D3126E"/>
    <w:rsid w:val="00D3185E"/>
    <w:rsid w:val="00D31FE0"/>
    <w:rsid w:val="00D32086"/>
    <w:rsid w:val="00D33530"/>
    <w:rsid w:val="00D357AF"/>
    <w:rsid w:val="00D377F3"/>
    <w:rsid w:val="00D37AF3"/>
    <w:rsid w:val="00D44E97"/>
    <w:rsid w:val="00D50600"/>
    <w:rsid w:val="00D50AA2"/>
    <w:rsid w:val="00D532D0"/>
    <w:rsid w:val="00D54A14"/>
    <w:rsid w:val="00D56DF4"/>
    <w:rsid w:val="00D57272"/>
    <w:rsid w:val="00D643D8"/>
    <w:rsid w:val="00D65907"/>
    <w:rsid w:val="00D7011C"/>
    <w:rsid w:val="00D70BC7"/>
    <w:rsid w:val="00D86070"/>
    <w:rsid w:val="00D8682A"/>
    <w:rsid w:val="00D91030"/>
    <w:rsid w:val="00D97AB1"/>
    <w:rsid w:val="00DA27F6"/>
    <w:rsid w:val="00DA40D0"/>
    <w:rsid w:val="00DA4F3B"/>
    <w:rsid w:val="00DA650E"/>
    <w:rsid w:val="00DB030C"/>
    <w:rsid w:val="00DB07D2"/>
    <w:rsid w:val="00DC1AD8"/>
    <w:rsid w:val="00DC298F"/>
    <w:rsid w:val="00DC3441"/>
    <w:rsid w:val="00DC53FC"/>
    <w:rsid w:val="00E0793F"/>
    <w:rsid w:val="00E15DEF"/>
    <w:rsid w:val="00E2195C"/>
    <w:rsid w:val="00E22375"/>
    <w:rsid w:val="00E233D5"/>
    <w:rsid w:val="00E2624F"/>
    <w:rsid w:val="00E313A6"/>
    <w:rsid w:val="00E345C4"/>
    <w:rsid w:val="00E35D96"/>
    <w:rsid w:val="00E40B55"/>
    <w:rsid w:val="00E4401F"/>
    <w:rsid w:val="00E458A0"/>
    <w:rsid w:val="00E51373"/>
    <w:rsid w:val="00E52943"/>
    <w:rsid w:val="00E57D20"/>
    <w:rsid w:val="00E613C0"/>
    <w:rsid w:val="00E62B2E"/>
    <w:rsid w:val="00E65952"/>
    <w:rsid w:val="00E71CE2"/>
    <w:rsid w:val="00E72ED7"/>
    <w:rsid w:val="00E82845"/>
    <w:rsid w:val="00E86B71"/>
    <w:rsid w:val="00EB473D"/>
    <w:rsid w:val="00EB5DED"/>
    <w:rsid w:val="00EC2BB7"/>
    <w:rsid w:val="00EC36B4"/>
    <w:rsid w:val="00EC5E62"/>
    <w:rsid w:val="00EC6134"/>
    <w:rsid w:val="00EC71EF"/>
    <w:rsid w:val="00ED5FA0"/>
    <w:rsid w:val="00EE6C9D"/>
    <w:rsid w:val="00EE7190"/>
    <w:rsid w:val="00EF30F2"/>
    <w:rsid w:val="00EF6C76"/>
    <w:rsid w:val="00EF73EA"/>
    <w:rsid w:val="00EF74FD"/>
    <w:rsid w:val="00F00AC9"/>
    <w:rsid w:val="00F023A3"/>
    <w:rsid w:val="00F03F55"/>
    <w:rsid w:val="00F061BC"/>
    <w:rsid w:val="00F06E95"/>
    <w:rsid w:val="00F10C39"/>
    <w:rsid w:val="00F12453"/>
    <w:rsid w:val="00F13BBA"/>
    <w:rsid w:val="00F17A4B"/>
    <w:rsid w:val="00F20120"/>
    <w:rsid w:val="00F23F71"/>
    <w:rsid w:val="00F24F5F"/>
    <w:rsid w:val="00F2626E"/>
    <w:rsid w:val="00F34FEE"/>
    <w:rsid w:val="00F350EB"/>
    <w:rsid w:val="00F3695F"/>
    <w:rsid w:val="00F37401"/>
    <w:rsid w:val="00F40E40"/>
    <w:rsid w:val="00F43948"/>
    <w:rsid w:val="00F45150"/>
    <w:rsid w:val="00F72B92"/>
    <w:rsid w:val="00F77E18"/>
    <w:rsid w:val="00F82AF4"/>
    <w:rsid w:val="00F861D9"/>
    <w:rsid w:val="00F87EDF"/>
    <w:rsid w:val="00F90A0A"/>
    <w:rsid w:val="00F90ADA"/>
    <w:rsid w:val="00F90BC1"/>
    <w:rsid w:val="00F9275A"/>
    <w:rsid w:val="00F94D43"/>
    <w:rsid w:val="00F97521"/>
    <w:rsid w:val="00FA6ED5"/>
    <w:rsid w:val="00FB2944"/>
    <w:rsid w:val="00FB329A"/>
    <w:rsid w:val="00FB5045"/>
    <w:rsid w:val="00FC65BC"/>
    <w:rsid w:val="00FC6BDC"/>
    <w:rsid w:val="00FD17FB"/>
    <w:rsid w:val="00FD3FB6"/>
    <w:rsid w:val="00FD4DEC"/>
    <w:rsid w:val="00FD58FE"/>
    <w:rsid w:val="00FE7040"/>
    <w:rsid w:val="00FE7F02"/>
    <w:rsid w:val="00FF40A1"/>
    <w:rsid w:val="00FF48C1"/>
    <w:rsid w:val="ECFF5F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0" w:name="footnote text"/>
    <w:lsdException w:unhideWhenUsed="0" w:uiPriority="0" w:semiHidden="0" w:name="annotation text"/>
    <w:lsdException w:unhideWhenUsed="0" w:uiPriority="99"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nhideWhenUsed="0" w:uiPriority="0" w:semiHidden="0" w:name="annotation reference"/>
    <w:lsdException w:unhideWhenUsed="0" w:uiPriority="99" w:semiHidden="0" w:name="line number"/>
    <w:lsdException w:unhideWhenUsed="0" w:uiPriority="0" w:semiHidden="0" w:name="page number"/>
    <w:lsdException w:unhideWhenUsed="0" w:uiPriority="0" w:semiHidden="0" w:name="endnote reference"/>
    <w:lsdException w:uiPriority="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99" w:semiHidden="0" w:name="Balloon Text"/>
    <w:lsdException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80" w:lineRule="atLeast"/>
      <w:jc w:val="both"/>
    </w:pPr>
    <w:rPr>
      <w:rFonts w:ascii="Palatino Linotype" w:hAnsi="Palatino Linotype" w:eastAsia="SimSun" w:cs="Times New Roman"/>
      <w:color w:val="000000"/>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50"/>
    <w:uiPriority w:val="99"/>
    <w:rPr>
      <w:rFonts w:cs="Tahoma"/>
      <w:szCs w:val="18"/>
    </w:rPr>
  </w:style>
  <w:style w:type="paragraph" w:styleId="5">
    <w:name w:val="Body Text"/>
    <w:link w:val="67"/>
    <w:uiPriority w:val="0"/>
    <w:pPr>
      <w:spacing w:after="120" w:line="340" w:lineRule="atLeast"/>
      <w:jc w:val="both"/>
    </w:pPr>
    <w:rPr>
      <w:rFonts w:ascii="Palatino Linotype" w:hAnsi="Palatino Linotype" w:eastAsia="SimSun" w:cs="Times New Roman"/>
      <w:color w:val="000000"/>
      <w:sz w:val="24"/>
      <w:lang w:val="en-US" w:eastAsia="de-DE" w:bidi="ar-SA"/>
    </w:rPr>
  </w:style>
  <w:style w:type="character" w:styleId="6">
    <w:name w:val="annotation reference"/>
    <w:uiPriority w:val="0"/>
    <w:rPr>
      <w:sz w:val="21"/>
      <w:szCs w:val="21"/>
    </w:rPr>
  </w:style>
  <w:style w:type="paragraph" w:styleId="7">
    <w:name w:val="annotation text"/>
    <w:basedOn w:val="1"/>
    <w:link w:val="68"/>
    <w:uiPriority w:val="0"/>
  </w:style>
  <w:style w:type="paragraph" w:styleId="8">
    <w:name w:val="annotation subject"/>
    <w:basedOn w:val="7"/>
    <w:next w:val="7"/>
    <w:link w:val="69"/>
    <w:uiPriority w:val="0"/>
    <w:rPr>
      <w:b/>
      <w:bCs/>
    </w:rPr>
  </w:style>
  <w:style w:type="character" w:styleId="9">
    <w:name w:val="endnote reference"/>
    <w:uiPriority w:val="0"/>
    <w:rPr>
      <w:vertAlign w:val="superscript"/>
    </w:rPr>
  </w:style>
  <w:style w:type="paragraph" w:styleId="10">
    <w:name w:val="endnote text"/>
    <w:basedOn w:val="1"/>
    <w:link w:val="70"/>
    <w:semiHidden/>
    <w:unhideWhenUsed/>
    <w:uiPriority w:val="0"/>
    <w:pPr>
      <w:spacing w:line="240" w:lineRule="auto"/>
    </w:pPr>
  </w:style>
  <w:style w:type="character" w:styleId="11">
    <w:name w:val="FollowedHyperlink"/>
    <w:uiPriority w:val="0"/>
    <w:rPr>
      <w:color w:val="954F72"/>
      <w:u w:val="single"/>
    </w:rPr>
  </w:style>
  <w:style w:type="paragraph" w:styleId="12">
    <w:name w:val="footer"/>
    <w:basedOn w:val="1"/>
    <w:link w:val="30"/>
    <w:uiPriority w:val="99"/>
    <w:pPr>
      <w:tabs>
        <w:tab w:val="center" w:pos="4153"/>
        <w:tab w:val="right" w:pos="8306"/>
      </w:tabs>
      <w:snapToGrid w:val="0"/>
      <w:spacing w:line="240" w:lineRule="atLeast"/>
    </w:pPr>
    <w:rPr>
      <w:szCs w:val="18"/>
    </w:rPr>
  </w:style>
  <w:style w:type="paragraph" w:styleId="13">
    <w:name w:val="footnote text"/>
    <w:basedOn w:val="1"/>
    <w:link w:val="71"/>
    <w:semiHidden/>
    <w:unhideWhenUsed/>
    <w:uiPriority w:val="0"/>
    <w:pPr>
      <w:spacing w:line="240" w:lineRule="auto"/>
    </w:pPr>
  </w:style>
  <w:style w:type="paragraph" w:styleId="14">
    <w:name w:val="header"/>
    <w:basedOn w:val="1"/>
    <w:link w:val="31"/>
    <w:uiPriority w:val="99"/>
    <w:pPr>
      <w:pBdr>
        <w:bottom w:val="single" w:color="auto" w:sz="6" w:space="1"/>
      </w:pBdr>
      <w:tabs>
        <w:tab w:val="center" w:pos="4153"/>
        <w:tab w:val="right" w:pos="8306"/>
      </w:tabs>
      <w:snapToGrid w:val="0"/>
      <w:spacing w:line="240" w:lineRule="atLeast"/>
      <w:jc w:val="center"/>
    </w:pPr>
    <w:rPr>
      <w:szCs w:val="18"/>
    </w:rPr>
  </w:style>
  <w:style w:type="character" w:styleId="15">
    <w:name w:val="Hyperlink"/>
    <w:uiPriority w:val="99"/>
    <w:rPr>
      <w:color w:val="0000FF"/>
      <w:u w:val="single"/>
    </w:rPr>
  </w:style>
  <w:style w:type="character" w:styleId="16">
    <w:name w:val="line number"/>
    <w:uiPriority w:val="99"/>
    <w:rPr>
      <w:rFonts w:ascii="Palatino Linotype" w:hAnsi="Palatino Linotype"/>
      <w:sz w:val="16"/>
    </w:rPr>
  </w:style>
  <w:style w:type="paragraph" w:styleId="17">
    <w:name w:val="Normal (Web)"/>
    <w:basedOn w:val="1"/>
    <w:uiPriority w:val="99"/>
    <w:rPr>
      <w:szCs w:val="24"/>
    </w:rPr>
  </w:style>
  <w:style w:type="character" w:styleId="18">
    <w:name w:val="page number"/>
    <w:uiPriority w:val="0"/>
  </w:style>
  <w:style w:type="character" w:styleId="19">
    <w:name w:val="Strong"/>
    <w:basedOn w:val="2"/>
    <w:qFormat/>
    <w:uiPriority w:val="22"/>
    <w:rPr>
      <w:b/>
      <w:bCs/>
    </w:rPr>
  </w:style>
  <w:style w:type="table" w:styleId="20">
    <w:name w:val="Table Grid"/>
    <w:basedOn w:val="3"/>
    <w:uiPriority w:val="59"/>
    <w:pPr>
      <w:spacing w:line="260" w:lineRule="atLeast"/>
      <w:jc w:val="both"/>
    </w:pPr>
    <w:rPr>
      <w:rFonts w:ascii="Palatino Linotype" w:hAnsi="Palatino Linotype"/>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1">
    <w:name w:val="MDPI_1.1_article_type"/>
    <w:next w:val="1"/>
    <w:qFormat/>
    <w:uiPriority w:val="0"/>
    <w:pPr>
      <w:adjustRightInd w:val="0"/>
      <w:snapToGrid w:val="0"/>
      <w:spacing w:before="240"/>
    </w:pPr>
    <w:rPr>
      <w:rFonts w:ascii="Palatino Linotype" w:hAnsi="Palatino Linotype" w:eastAsia="Times New Roman" w:cs="Times New Roman"/>
      <w:i/>
      <w:snapToGrid w:val="0"/>
      <w:color w:val="000000"/>
      <w:szCs w:val="22"/>
      <w:lang w:val="en-US" w:eastAsia="de-DE" w:bidi="en-US"/>
    </w:rPr>
  </w:style>
  <w:style w:type="paragraph" w:customStyle="1" w:styleId="22">
    <w:name w:val="MDPI_1.2_title"/>
    <w:next w:val="1"/>
    <w:qFormat/>
    <w:uiPriority w:val="0"/>
    <w:pPr>
      <w:adjustRightInd w:val="0"/>
      <w:snapToGrid w:val="0"/>
      <w:spacing w:after="240" w:line="240" w:lineRule="atLeast"/>
    </w:pPr>
    <w:rPr>
      <w:rFonts w:ascii="Palatino Linotype" w:hAnsi="Palatino Linotype" w:eastAsia="Times New Roman" w:cs="Times New Roman"/>
      <w:b/>
      <w:snapToGrid w:val="0"/>
      <w:color w:val="000000"/>
      <w:sz w:val="36"/>
      <w:lang w:val="en-US" w:eastAsia="de-DE" w:bidi="en-US"/>
    </w:rPr>
  </w:style>
  <w:style w:type="paragraph" w:customStyle="1" w:styleId="23">
    <w:name w:val="MDPI_1.3_authornames"/>
    <w:next w:val="1"/>
    <w:qFormat/>
    <w:uiPriority w:val="0"/>
    <w:pPr>
      <w:adjustRightInd w:val="0"/>
      <w:snapToGrid w:val="0"/>
      <w:spacing w:after="360" w:line="260" w:lineRule="atLeast"/>
    </w:pPr>
    <w:rPr>
      <w:rFonts w:ascii="Palatino Linotype" w:hAnsi="Palatino Linotype" w:eastAsia="Times New Roman" w:cs="Times New Roman"/>
      <w:b/>
      <w:color w:val="000000"/>
      <w:szCs w:val="22"/>
      <w:lang w:val="en-US" w:eastAsia="de-DE" w:bidi="en-US"/>
    </w:rPr>
  </w:style>
  <w:style w:type="paragraph" w:customStyle="1" w:styleId="24">
    <w:name w:val="MDPI_1.4_history"/>
    <w:basedOn w:val="1"/>
    <w:next w:val="1"/>
    <w:qFormat/>
    <w:uiPriority w:val="0"/>
    <w:pPr>
      <w:adjustRightInd w:val="0"/>
      <w:snapToGrid w:val="0"/>
      <w:spacing w:line="240" w:lineRule="atLeast"/>
      <w:ind w:right="113"/>
      <w:jc w:val="left"/>
    </w:pPr>
    <w:rPr>
      <w:rFonts w:eastAsia="Times New Roman"/>
      <w:sz w:val="14"/>
      <w:lang w:eastAsia="de-DE" w:bidi="en-US"/>
    </w:rPr>
  </w:style>
  <w:style w:type="paragraph" w:customStyle="1" w:styleId="25">
    <w:name w:val="MDPI_1.6_affiliation"/>
    <w:qFormat/>
    <w:uiPriority w:val="0"/>
    <w:pPr>
      <w:adjustRightInd w:val="0"/>
      <w:snapToGrid w:val="0"/>
      <w:spacing w:line="200" w:lineRule="atLeast"/>
      <w:ind w:left="2806" w:hanging="198"/>
    </w:pPr>
    <w:rPr>
      <w:rFonts w:ascii="Palatino Linotype" w:hAnsi="Palatino Linotype" w:eastAsia="Times New Roman" w:cs="Times New Roman"/>
      <w:color w:val="000000"/>
      <w:sz w:val="16"/>
      <w:szCs w:val="18"/>
      <w:lang w:val="en-US" w:eastAsia="de-DE" w:bidi="en-US"/>
    </w:rPr>
  </w:style>
  <w:style w:type="paragraph" w:customStyle="1" w:styleId="26">
    <w:name w:val="MDPI_1.7_abstract"/>
    <w:next w:val="1"/>
    <w:qFormat/>
    <w:uiPriority w:val="0"/>
    <w:pPr>
      <w:adjustRightInd w:val="0"/>
      <w:snapToGrid w:val="0"/>
      <w:spacing w:before="240" w:after="120" w:line="280" w:lineRule="atLeast"/>
      <w:ind w:left="2608"/>
      <w:jc w:val="both"/>
    </w:pPr>
    <w:rPr>
      <w:rFonts w:ascii="Palatino Linotype" w:hAnsi="Palatino Linotype" w:eastAsia="Times New Roman" w:cs="Times New Roman"/>
      <w:color w:val="000000"/>
      <w:szCs w:val="22"/>
      <w:lang w:val="en-US" w:eastAsia="de-DE" w:bidi="en-US"/>
    </w:rPr>
  </w:style>
  <w:style w:type="paragraph" w:customStyle="1" w:styleId="27">
    <w:name w:val="MDPI_1.8_keywords"/>
    <w:next w:val="1"/>
    <w:qFormat/>
    <w:uiPriority w:val="0"/>
    <w:pPr>
      <w:adjustRightInd w:val="0"/>
      <w:snapToGrid w:val="0"/>
      <w:spacing w:before="240" w:line="280" w:lineRule="atLeast"/>
      <w:ind w:left="2608"/>
      <w:jc w:val="both"/>
    </w:pPr>
    <w:rPr>
      <w:rFonts w:ascii="Palatino Linotype" w:hAnsi="Palatino Linotype" w:eastAsia="Times New Roman" w:cs="Times New Roman"/>
      <w:snapToGrid w:val="0"/>
      <w:color w:val="000000"/>
      <w:szCs w:val="22"/>
      <w:lang w:val="en-US" w:eastAsia="de-DE" w:bidi="en-US"/>
    </w:rPr>
  </w:style>
  <w:style w:type="paragraph" w:customStyle="1" w:styleId="28">
    <w:name w:val="MDPI_1.9_line"/>
    <w:qFormat/>
    <w:uiPriority w:val="0"/>
    <w:pPr>
      <w:pBdr>
        <w:bottom w:val="single" w:color="auto" w:sz="6" w:space="1"/>
      </w:pBdr>
      <w:adjustRightInd w:val="0"/>
      <w:snapToGrid w:val="0"/>
      <w:spacing w:after="480" w:line="280" w:lineRule="atLeast"/>
      <w:ind w:left="2608"/>
      <w:jc w:val="both"/>
    </w:pPr>
    <w:rPr>
      <w:rFonts w:ascii="Palatino Linotype" w:hAnsi="Palatino Linotype" w:eastAsia="Times New Roman" w:cs="Cordia New"/>
      <w:color w:val="000000"/>
      <w:szCs w:val="24"/>
      <w:lang w:val="en-US" w:eastAsia="de-DE" w:bidi="en-US"/>
    </w:rPr>
  </w:style>
  <w:style w:type="table" w:customStyle="1" w:styleId="29">
    <w:name w:val="M_deck_5_table_body_three_lines"/>
    <w:basedOn w:val="3"/>
    <w:uiPriority w:val="99"/>
    <w:pPr>
      <w:adjustRightInd w:val="0"/>
      <w:snapToGrid w:val="0"/>
      <w:spacing w:line="300" w:lineRule="exact"/>
      <w:jc w:val="center"/>
    </w:pPr>
    <w:rPr>
      <w:rFonts w:ascii="Times New Roman" w:hAnsi="Times New Roman"/>
      <w:lang w:val="de-DE" w:eastAsia="de-DE"/>
    </w:rPr>
    <w:tblPr>
      <w:jc w:val="center"/>
      <w:tblBorders>
        <w:bottom w:val="single" w:color="auto" w:sz="8" w:space="0"/>
      </w:tblBorders>
    </w:tblPr>
    <w:trPr>
      <w:jc w:val="center"/>
    </w:trPr>
    <w:tcPr>
      <w:vAlign w:val="center"/>
    </w:tcPr>
    <w:tblStylePr w:type="firstRow">
      <w:pPr>
        <w:wordWrap/>
        <w:adjustRightInd w:val="0"/>
        <w:snapToGrid w:val="0"/>
        <w:spacing w:beforeLines="0" w:beforeAutospacing="0" w:afterLines="0" w:afterAutospacing="0" w:line="300" w:lineRule="exact"/>
        <w:ind w:left="0" w:leftChars="0" w:right="0" w:rightChars="0" w:firstLine="0" w:firstLineChars="0"/>
        <w:contextualSpacing w:val="0"/>
        <w:jc w:val="center"/>
        <w:outlineLvl w:val="9"/>
      </w:pPr>
      <w:rPr>
        <w:rFonts w:ascii="Times New Roman" w:hAnsi="Times New Roman" w:eastAsia="Times New Roman"/>
        <w:b w:val="0"/>
        <w:i w:val="0"/>
        <w:snapToGrid w:val="0"/>
        <w:sz w:val="22"/>
      </w:rPr>
      <w:tcPr>
        <w:tcBorders>
          <w:top w:val="single" w:color="auto" w:sz="8" w:space="0"/>
          <w:left w:val="nil"/>
          <w:bottom w:val="single" w:color="auto" w:sz="4" w:space="0"/>
          <w:right w:val="nil"/>
          <w:insideH w:val="nil"/>
          <w:insideV w:val="nil"/>
          <w:tl2br w:val="nil"/>
          <w:tr2bl w:val="nil"/>
        </w:tcBorders>
      </w:tcPr>
    </w:tblStylePr>
  </w:style>
  <w:style w:type="character" w:customStyle="1" w:styleId="30">
    <w:name w:val="页脚 字符"/>
    <w:link w:val="12"/>
    <w:uiPriority w:val="99"/>
    <w:rPr>
      <w:rFonts w:ascii="Palatino Linotype" w:hAnsi="Palatino Linotype"/>
      <w:color w:val="000000"/>
      <w:szCs w:val="18"/>
    </w:rPr>
  </w:style>
  <w:style w:type="character" w:customStyle="1" w:styleId="31">
    <w:name w:val="页眉 字符"/>
    <w:link w:val="14"/>
    <w:uiPriority w:val="99"/>
    <w:rPr>
      <w:rFonts w:ascii="Palatino Linotype" w:hAnsi="Palatino Linotype"/>
      <w:color w:val="000000"/>
      <w:szCs w:val="18"/>
    </w:rPr>
  </w:style>
  <w:style w:type="paragraph" w:customStyle="1" w:styleId="32">
    <w:name w:val="MDPI_3.2_text_no_indent"/>
    <w:basedOn w:val="33"/>
    <w:qFormat/>
    <w:uiPriority w:val="0"/>
    <w:pPr>
      <w:ind w:firstLine="0"/>
    </w:pPr>
  </w:style>
  <w:style w:type="paragraph" w:customStyle="1" w:styleId="33">
    <w:name w:val="MDPI_3.1_text"/>
    <w:qFormat/>
    <w:uiPriority w:val="0"/>
    <w:pPr>
      <w:adjustRightInd w:val="0"/>
      <w:snapToGrid w:val="0"/>
      <w:spacing w:line="280" w:lineRule="atLeast"/>
      <w:ind w:left="2608" w:firstLine="425"/>
      <w:jc w:val="both"/>
    </w:pPr>
    <w:rPr>
      <w:rFonts w:ascii="Palatino Linotype" w:hAnsi="Palatino Linotype" w:eastAsia="Times New Roman" w:cs="Times New Roman"/>
      <w:snapToGrid w:val="0"/>
      <w:color w:val="000000"/>
      <w:szCs w:val="22"/>
      <w:lang w:val="en-US" w:eastAsia="de-DE" w:bidi="en-US"/>
    </w:rPr>
  </w:style>
  <w:style w:type="paragraph" w:customStyle="1" w:styleId="34">
    <w:name w:val="MDPI_3.3_text_space_after"/>
    <w:qFormat/>
    <w:uiPriority w:val="0"/>
    <w:pPr>
      <w:adjustRightInd w:val="0"/>
      <w:snapToGrid w:val="0"/>
      <w:spacing w:after="240" w:line="280" w:lineRule="atLeast"/>
      <w:ind w:left="2608"/>
      <w:jc w:val="both"/>
    </w:pPr>
    <w:rPr>
      <w:rFonts w:ascii="Palatino Linotype" w:hAnsi="Palatino Linotype" w:eastAsia="Times New Roman" w:cs="Times New Roman"/>
      <w:snapToGrid w:val="0"/>
      <w:color w:val="000000"/>
      <w:szCs w:val="22"/>
      <w:lang w:val="en-US" w:eastAsia="de-DE" w:bidi="en-US"/>
    </w:rPr>
  </w:style>
  <w:style w:type="paragraph" w:customStyle="1" w:styleId="35">
    <w:name w:val="MDPI_3.5_text_before_list"/>
    <w:qFormat/>
    <w:uiPriority w:val="0"/>
    <w:pPr>
      <w:adjustRightInd w:val="0"/>
      <w:snapToGrid w:val="0"/>
      <w:spacing w:line="280" w:lineRule="atLeast"/>
      <w:ind w:left="2608" w:firstLine="425"/>
      <w:jc w:val="both"/>
    </w:pPr>
    <w:rPr>
      <w:rFonts w:ascii="Palatino Linotype" w:hAnsi="Palatino Linotype" w:eastAsia="Times New Roman" w:cs="Times New Roman"/>
      <w:snapToGrid w:val="0"/>
      <w:color w:val="000000"/>
      <w:szCs w:val="22"/>
      <w:lang w:val="en-US" w:eastAsia="de-DE" w:bidi="en-US"/>
    </w:rPr>
  </w:style>
  <w:style w:type="paragraph" w:customStyle="1" w:styleId="36">
    <w:name w:val="MDPI_3.6_text_after_list"/>
    <w:qFormat/>
    <w:uiPriority w:val="0"/>
    <w:pPr>
      <w:adjustRightInd w:val="0"/>
      <w:snapToGrid w:val="0"/>
      <w:spacing w:before="120" w:line="280" w:lineRule="atLeast"/>
      <w:ind w:left="2608"/>
      <w:jc w:val="both"/>
    </w:pPr>
    <w:rPr>
      <w:rFonts w:ascii="Palatino Linotype" w:hAnsi="Palatino Linotype" w:eastAsia="Times New Roman" w:cs="Times New Roman"/>
      <w:snapToGrid w:val="0"/>
      <w:color w:val="000000"/>
      <w:szCs w:val="22"/>
      <w:lang w:val="en-US" w:eastAsia="de-DE" w:bidi="en-US"/>
    </w:rPr>
  </w:style>
  <w:style w:type="paragraph" w:customStyle="1" w:styleId="37">
    <w:name w:val="MDPI_3.7_itemize"/>
    <w:qFormat/>
    <w:uiPriority w:val="0"/>
    <w:pPr>
      <w:numPr>
        <w:ilvl w:val="0"/>
        <w:numId w:val="1"/>
      </w:numPr>
      <w:adjustRightInd w:val="0"/>
      <w:snapToGrid w:val="0"/>
      <w:spacing w:line="280" w:lineRule="atLeast"/>
      <w:jc w:val="both"/>
    </w:pPr>
    <w:rPr>
      <w:rFonts w:ascii="Palatino Linotype" w:hAnsi="Palatino Linotype" w:eastAsia="Times New Roman" w:cs="Times New Roman"/>
      <w:color w:val="000000"/>
      <w:szCs w:val="22"/>
      <w:lang w:val="en-US" w:eastAsia="de-DE" w:bidi="en-US"/>
    </w:rPr>
  </w:style>
  <w:style w:type="paragraph" w:customStyle="1" w:styleId="38">
    <w:name w:val="MDPI_3.8_bullet"/>
    <w:qFormat/>
    <w:uiPriority w:val="0"/>
    <w:pPr>
      <w:numPr>
        <w:ilvl w:val="0"/>
        <w:numId w:val="2"/>
      </w:numPr>
      <w:adjustRightInd w:val="0"/>
      <w:snapToGrid w:val="0"/>
      <w:spacing w:line="280" w:lineRule="atLeast"/>
      <w:jc w:val="both"/>
    </w:pPr>
    <w:rPr>
      <w:rFonts w:ascii="Palatino Linotype" w:hAnsi="Palatino Linotype" w:eastAsia="Times New Roman" w:cs="Times New Roman"/>
      <w:color w:val="000000"/>
      <w:szCs w:val="22"/>
      <w:lang w:val="en-US" w:eastAsia="de-DE" w:bidi="en-US"/>
    </w:rPr>
  </w:style>
  <w:style w:type="paragraph" w:customStyle="1" w:styleId="39">
    <w:name w:val="MDPI_3.9_equation"/>
    <w:qFormat/>
    <w:uiPriority w:val="0"/>
    <w:pPr>
      <w:adjustRightInd w:val="0"/>
      <w:snapToGrid w:val="0"/>
      <w:spacing w:before="120" w:after="120" w:line="280" w:lineRule="atLeast"/>
      <w:ind w:left="709"/>
      <w:jc w:val="center"/>
    </w:pPr>
    <w:rPr>
      <w:rFonts w:ascii="Palatino Linotype" w:hAnsi="Palatino Linotype" w:eastAsia="Times New Roman" w:cs="Times New Roman"/>
      <w:snapToGrid w:val="0"/>
      <w:color w:val="000000"/>
      <w:szCs w:val="22"/>
      <w:lang w:val="en-US" w:eastAsia="de-DE" w:bidi="en-US"/>
    </w:rPr>
  </w:style>
  <w:style w:type="paragraph" w:customStyle="1" w:styleId="40">
    <w:name w:val="MDPI_3.a_equation_number"/>
    <w:qFormat/>
    <w:uiPriority w:val="0"/>
    <w:pPr>
      <w:spacing w:before="120" w:after="120" w:line="280" w:lineRule="atLeast"/>
      <w:jc w:val="right"/>
    </w:pPr>
    <w:rPr>
      <w:rFonts w:ascii="Palatino Linotype" w:hAnsi="Palatino Linotype" w:eastAsia="Times New Roman" w:cs="Times New Roman"/>
      <w:snapToGrid w:val="0"/>
      <w:color w:val="000000"/>
      <w:szCs w:val="22"/>
      <w:lang w:val="en-US" w:eastAsia="de-DE" w:bidi="en-US"/>
    </w:rPr>
  </w:style>
  <w:style w:type="paragraph" w:customStyle="1" w:styleId="41">
    <w:name w:val="MDPI_4.1_table_caption"/>
    <w:qFormat/>
    <w:uiPriority w:val="0"/>
    <w:pPr>
      <w:adjustRightInd w:val="0"/>
      <w:snapToGrid w:val="0"/>
      <w:spacing w:before="240" w:after="120" w:line="280" w:lineRule="atLeast"/>
      <w:ind w:left="2608"/>
      <w:jc w:val="both"/>
    </w:pPr>
    <w:rPr>
      <w:rFonts w:ascii="Palatino Linotype" w:hAnsi="Palatino Linotype" w:eastAsia="Times New Roman" w:cs="Cordia New"/>
      <w:color w:val="000000"/>
      <w:sz w:val="18"/>
      <w:szCs w:val="22"/>
      <w:lang w:val="en-US" w:eastAsia="de-DE" w:bidi="en-US"/>
    </w:rPr>
  </w:style>
  <w:style w:type="paragraph" w:customStyle="1" w:styleId="42">
    <w:name w:val="MDPI_4.2_table_body"/>
    <w:qFormat/>
    <w:uiPriority w:val="0"/>
    <w:pPr>
      <w:adjustRightInd w:val="0"/>
      <w:snapToGrid w:val="0"/>
      <w:spacing w:line="260" w:lineRule="atLeast"/>
      <w:jc w:val="center"/>
    </w:pPr>
    <w:rPr>
      <w:rFonts w:ascii="Palatino Linotype" w:hAnsi="Palatino Linotype" w:eastAsia="Times New Roman" w:cs="Times New Roman"/>
      <w:snapToGrid w:val="0"/>
      <w:color w:val="000000"/>
      <w:lang w:val="en-US" w:eastAsia="de-DE" w:bidi="en-US"/>
    </w:rPr>
  </w:style>
  <w:style w:type="paragraph" w:customStyle="1" w:styleId="43">
    <w:name w:val="MDPI_4.3_table_footer"/>
    <w:next w:val="33"/>
    <w:qFormat/>
    <w:uiPriority w:val="0"/>
    <w:pPr>
      <w:adjustRightInd w:val="0"/>
      <w:snapToGrid w:val="0"/>
      <w:spacing w:line="280" w:lineRule="atLeast"/>
      <w:ind w:left="2608"/>
      <w:jc w:val="both"/>
    </w:pPr>
    <w:rPr>
      <w:rFonts w:ascii="Palatino Linotype" w:hAnsi="Palatino Linotype" w:eastAsia="Times New Roman" w:cs="Cordia New"/>
      <w:color w:val="000000"/>
      <w:sz w:val="18"/>
      <w:szCs w:val="22"/>
      <w:lang w:val="en-US" w:eastAsia="de-DE" w:bidi="en-US"/>
    </w:rPr>
  </w:style>
  <w:style w:type="paragraph" w:customStyle="1" w:styleId="44">
    <w:name w:val="MDPI_5.1_figure_caption"/>
    <w:qFormat/>
    <w:uiPriority w:val="0"/>
    <w:pPr>
      <w:adjustRightInd w:val="0"/>
      <w:snapToGrid w:val="0"/>
      <w:spacing w:before="120" w:after="240" w:line="280" w:lineRule="atLeast"/>
      <w:ind w:left="2608"/>
      <w:jc w:val="both"/>
    </w:pPr>
    <w:rPr>
      <w:rFonts w:ascii="Palatino Linotype" w:hAnsi="Palatino Linotype" w:eastAsia="Times New Roman" w:cs="Times New Roman"/>
      <w:color w:val="000000"/>
      <w:sz w:val="18"/>
      <w:lang w:val="en-US" w:eastAsia="de-DE" w:bidi="en-US"/>
    </w:rPr>
  </w:style>
  <w:style w:type="paragraph" w:customStyle="1" w:styleId="45">
    <w:name w:val="MDPI_5.2_figure"/>
    <w:qFormat/>
    <w:uiPriority w:val="0"/>
    <w:pPr>
      <w:adjustRightInd w:val="0"/>
      <w:snapToGrid w:val="0"/>
      <w:spacing w:before="240" w:after="120"/>
      <w:jc w:val="center"/>
    </w:pPr>
    <w:rPr>
      <w:rFonts w:ascii="Palatino Linotype" w:hAnsi="Palatino Linotype" w:eastAsia="Times New Roman" w:cs="Times New Roman"/>
      <w:snapToGrid w:val="0"/>
      <w:color w:val="000000"/>
      <w:lang w:val="en-US" w:eastAsia="de-DE" w:bidi="en-US"/>
    </w:rPr>
  </w:style>
  <w:style w:type="paragraph" w:customStyle="1" w:styleId="46">
    <w:name w:val="MDPI_2.3_heading3"/>
    <w:qFormat/>
    <w:uiPriority w:val="0"/>
    <w:pPr>
      <w:adjustRightInd w:val="0"/>
      <w:snapToGrid w:val="0"/>
      <w:spacing w:before="60" w:after="60" w:line="280" w:lineRule="atLeast"/>
      <w:ind w:left="2608"/>
      <w:outlineLvl w:val="2"/>
    </w:pPr>
    <w:rPr>
      <w:rFonts w:ascii="Palatino Linotype" w:hAnsi="Palatino Linotype" w:eastAsia="Times New Roman" w:cs="Times New Roman"/>
      <w:snapToGrid w:val="0"/>
      <w:color w:val="000000"/>
      <w:szCs w:val="22"/>
      <w:lang w:val="en-US" w:eastAsia="de-DE" w:bidi="en-US"/>
    </w:rPr>
  </w:style>
  <w:style w:type="paragraph" w:customStyle="1" w:styleId="47">
    <w:name w:val="MDPI_2.1_heading1"/>
    <w:qFormat/>
    <w:uiPriority w:val="0"/>
    <w:pPr>
      <w:adjustRightInd w:val="0"/>
      <w:snapToGrid w:val="0"/>
      <w:spacing w:before="240" w:after="60" w:line="280" w:lineRule="atLeast"/>
      <w:ind w:left="2608"/>
      <w:outlineLvl w:val="0"/>
    </w:pPr>
    <w:rPr>
      <w:rFonts w:ascii="Palatino Linotype" w:hAnsi="Palatino Linotype" w:eastAsia="Times New Roman" w:cs="Times New Roman"/>
      <w:b/>
      <w:snapToGrid w:val="0"/>
      <w:color w:val="000000"/>
      <w:sz w:val="24"/>
      <w:szCs w:val="22"/>
      <w:lang w:val="en-US" w:eastAsia="de-DE" w:bidi="en-US"/>
    </w:rPr>
  </w:style>
  <w:style w:type="paragraph" w:customStyle="1" w:styleId="48">
    <w:name w:val="MDPI_2.2_heading2"/>
    <w:qFormat/>
    <w:uiPriority w:val="0"/>
    <w:pPr>
      <w:adjustRightInd w:val="0"/>
      <w:snapToGrid w:val="0"/>
      <w:spacing w:before="60" w:after="60" w:line="280" w:lineRule="atLeast"/>
      <w:ind w:left="2608"/>
      <w:outlineLvl w:val="1"/>
    </w:pPr>
    <w:rPr>
      <w:rFonts w:ascii="Palatino Linotype" w:hAnsi="Palatino Linotype" w:eastAsia="Times New Roman" w:cs="Times New Roman"/>
      <w:i/>
      <w:snapToGrid w:val="0"/>
      <w:color w:val="000000"/>
      <w:szCs w:val="22"/>
      <w:lang w:val="en-US" w:eastAsia="de-DE" w:bidi="en-US"/>
    </w:rPr>
  </w:style>
  <w:style w:type="paragraph" w:customStyle="1" w:styleId="49">
    <w:name w:val="MDPI_8.1_references"/>
    <w:qFormat/>
    <w:uiPriority w:val="0"/>
    <w:pPr>
      <w:numPr>
        <w:ilvl w:val="0"/>
        <w:numId w:val="3"/>
      </w:numPr>
      <w:adjustRightInd w:val="0"/>
      <w:snapToGrid w:val="0"/>
      <w:spacing w:line="280" w:lineRule="atLeast"/>
      <w:jc w:val="both"/>
    </w:pPr>
    <w:rPr>
      <w:rFonts w:ascii="Palatino Linotype" w:hAnsi="Palatino Linotype" w:eastAsia="Times New Roman" w:cs="Times New Roman"/>
      <w:color w:val="000000"/>
      <w:sz w:val="18"/>
      <w:lang w:val="en-US" w:eastAsia="de-DE" w:bidi="en-US"/>
    </w:rPr>
  </w:style>
  <w:style w:type="character" w:customStyle="1" w:styleId="50">
    <w:name w:val="批注框文本 字符"/>
    <w:link w:val="4"/>
    <w:uiPriority w:val="99"/>
    <w:rPr>
      <w:rFonts w:ascii="Palatino Linotype" w:hAnsi="Palatino Linotype" w:cs="Tahoma"/>
      <w:color w:val="000000"/>
      <w:szCs w:val="18"/>
    </w:rPr>
  </w:style>
  <w:style w:type="table" w:customStyle="1" w:styleId="51">
    <w:name w:val="MDPI_4.1_three_line_table"/>
    <w:basedOn w:val="3"/>
    <w:uiPriority w:val="99"/>
    <w:pPr>
      <w:adjustRightInd w:val="0"/>
      <w:snapToGrid w:val="0"/>
      <w:spacing w:line="280" w:lineRule="atLeast"/>
      <w:jc w:val="center"/>
    </w:pPr>
    <w:rPr>
      <w:rFonts w:ascii="Palatino Linotype" w:hAnsi="Palatino Linotype"/>
      <w:color w:val="000000"/>
    </w:rPr>
    <w:tblPr>
      <w:jc w:val="center"/>
      <w:tblBorders>
        <w:top w:val="single" w:color="auto" w:sz="8" w:space="0"/>
        <w:bottom w:val="single" w:color="auto" w:sz="8" w:space="0"/>
      </w:tblBorders>
    </w:tblPr>
    <w:trPr>
      <w:jc w:val="center"/>
    </w:trPr>
    <w:tcPr>
      <w:vAlign w:val="center"/>
    </w:tcPr>
    <w:tblStylePr w:type="firstRow">
      <w:rPr>
        <w:rFonts w:ascii="Palatino Linotype" w:hAnsi="Palatino Linotype"/>
        <w:b/>
        <w:i w:val="0"/>
        <w:sz w:val="20"/>
      </w:rPr>
      <w:tcPr>
        <w:tcBorders>
          <w:bottom w:val="single" w:color="auto" w:sz="4" w:space="0"/>
        </w:tcBorders>
      </w:tcPr>
    </w:tblStylePr>
  </w:style>
  <w:style w:type="character" w:customStyle="1" w:styleId="52">
    <w:name w:val="Unresolved Mention"/>
    <w:semiHidden/>
    <w:unhideWhenUsed/>
    <w:uiPriority w:val="99"/>
    <w:rPr>
      <w:color w:val="605E5C"/>
      <w:shd w:val="clear" w:color="auto" w:fill="E1DFDD"/>
    </w:rPr>
  </w:style>
  <w:style w:type="table" w:customStyle="1" w:styleId="53">
    <w:name w:val="Plain Table 4"/>
    <w:basedOn w:val="3"/>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2F2F2"/>
      </w:tcPr>
    </w:tblStylePr>
    <w:tblStylePr w:type="band1Horz">
      <w:tcPr>
        <w:shd w:val="clear" w:color="auto" w:fill="F2F2F2"/>
      </w:tcPr>
    </w:tblStylePr>
  </w:style>
  <w:style w:type="paragraph" w:customStyle="1" w:styleId="54">
    <w:name w:val="MDPI_3.4_text_space_before"/>
    <w:qFormat/>
    <w:uiPriority w:val="0"/>
    <w:pPr>
      <w:adjustRightInd w:val="0"/>
      <w:snapToGrid w:val="0"/>
      <w:spacing w:before="240" w:line="280" w:lineRule="atLeast"/>
      <w:ind w:left="2608"/>
      <w:jc w:val="both"/>
    </w:pPr>
    <w:rPr>
      <w:rFonts w:ascii="Palatino Linotype" w:hAnsi="Palatino Linotype" w:eastAsia="Times New Roman" w:cs="Times New Roman"/>
      <w:snapToGrid w:val="0"/>
      <w:color w:val="000000"/>
      <w:szCs w:val="22"/>
      <w:lang w:val="en-US" w:eastAsia="de-DE" w:bidi="en-US"/>
    </w:rPr>
  </w:style>
  <w:style w:type="paragraph" w:customStyle="1" w:styleId="55">
    <w:name w:val="MDPI_8.2_theorem"/>
    <w:qFormat/>
    <w:uiPriority w:val="0"/>
    <w:pPr>
      <w:adjustRightInd w:val="0"/>
      <w:snapToGrid w:val="0"/>
      <w:spacing w:line="280" w:lineRule="atLeast"/>
      <w:ind w:left="2608"/>
      <w:jc w:val="both"/>
    </w:pPr>
    <w:rPr>
      <w:rFonts w:ascii="Palatino Linotype" w:hAnsi="Palatino Linotype" w:eastAsia="Times New Roman" w:cs="Times New Roman"/>
      <w:i/>
      <w:snapToGrid w:val="0"/>
      <w:color w:val="000000"/>
      <w:szCs w:val="22"/>
      <w:lang w:val="en-US" w:eastAsia="de-DE" w:bidi="en-US"/>
    </w:rPr>
  </w:style>
  <w:style w:type="paragraph" w:customStyle="1" w:styleId="56">
    <w:name w:val="MDPI_8.3_proof"/>
    <w:qFormat/>
    <w:uiPriority w:val="0"/>
    <w:pPr>
      <w:adjustRightInd w:val="0"/>
      <w:snapToGrid w:val="0"/>
      <w:spacing w:line="280" w:lineRule="atLeast"/>
      <w:ind w:left="2608"/>
      <w:jc w:val="both"/>
    </w:pPr>
    <w:rPr>
      <w:rFonts w:ascii="Palatino Linotype" w:hAnsi="Palatino Linotype" w:eastAsia="Times New Roman" w:cs="Times New Roman"/>
      <w:snapToGrid w:val="0"/>
      <w:color w:val="000000"/>
      <w:szCs w:val="22"/>
      <w:lang w:val="en-US" w:eastAsia="de-DE" w:bidi="en-US"/>
    </w:rPr>
  </w:style>
  <w:style w:type="paragraph" w:customStyle="1" w:styleId="57">
    <w:name w:val="MDPI_6.1_citation"/>
    <w:qFormat/>
    <w:uiPriority w:val="0"/>
    <w:pPr>
      <w:adjustRightInd w:val="0"/>
      <w:snapToGrid w:val="0"/>
      <w:spacing w:before="120" w:after="120" w:line="240" w:lineRule="atLeast"/>
      <w:ind w:right="113"/>
    </w:pPr>
    <w:rPr>
      <w:rFonts w:ascii="Palatino Linotype" w:hAnsi="Palatino Linotype" w:eastAsia="SimSun" w:cs="Cordia New"/>
      <w:sz w:val="14"/>
      <w:szCs w:val="22"/>
      <w:lang w:val="en-US" w:eastAsia="zh-CN" w:bidi="ar-SA"/>
    </w:rPr>
  </w:style>
  <w:style w:type="paragraph" w:customStyle="1" w:styleId="58">
    <w:name w:val="MDPI_6.2_back_matter"/>
    <w:qFormat/>
    <w:uiPriority w:val="0"/>
    <w:pPr>
      <w:adjustRightInd w:val="0"/>
      <w:snapToGrid w:val="0"/>
      <w:spacing w:after="120" w:line="280" w:lineRule="atLeast"/>
      <w:ind w:left="2608"/>
      <w:jc w:val="both"/>
    </w:pPr>
    <w:rPr>
      <w:rFonts w:ascii="Palatino Linotype" w:hAnsi="Palatino Linotype" w:eastAsia="Times New Roman" w:cs="Times New Roman"/>
      <w:snapToGrid w:val="0"/>
      <w:color w:val="000000"/>
      <w:sz w:val="18"/>
      <w:lang w:val="en-US" w:eastAsia="en-US" w:bidi="en-US"/>
    </w:rPr>
  </w:style>
  <w:style w:type="paragraph" w:customStyle="1" w:styleId="59">
    <w:name w:val="MDPI_6.3_notes"/>
    <w:qFormat/>
    <w:uiPriority w:val="0"/>
    <w:pPr>
      <w:adjustRightInd w:val="0"/>
      <w:snapToGrid w:val="0"/>
      <w:spacing w:before="240" w:line="280" w:lineRule="atLeast"/>
      <w:jc w:val="both"/>
    </w:pPr>
    <w:rPr>
      <w:rFonts w:ascii="Palatino Linotype" w:hAnsi="Palatino Linotype" w:eastAsia="SimSun" w:cs="Times New Roman"/>
      <w:snapToGrid w:val="0"/>
      <w:color w:val="000000"/>
      <w:sz w:val="18"/>
      <w:lang w:val="en-US" w:eastAsia="en-US" w:bidi="en-US"/>
    </w:rPr>
  </w:style>
  <w:style w:type="paragraph" w:customStyle="1" w:styleId="60">
    <w:name w:val="MDPI_1.5_academic_editor"/>
    <w:qFormat/>
    <w:uiPriority w:val="0"/>
    <w:pPr>
      <w:adjustRightInd w:val="0"/>
      <w:snapToGrid w:val="0"/>
      <w:spacing w:before="120" w:line="240" w:lineRule="atLeast"/>
      <w:ind w:right="113"/>
    </w:pPr>
    <w:rPr>
      <w:rFonts w:ascii="Palatino Linotype" w:hAnsi="Palatino Linotype" w:eastAsia="Times New Roman" w:cs="Times New Roman"/>
      <w:color w:val="000000"/>
      <w:sz w:val="14"/>
      <w:szCs w:val="22"/>
      <w:lang w:val="en-US" w:eastAsia="de-DE" w:bidi="en-US"/>
    </w:rPr>
  </w:style>
  <w:style w:type="paragraph" w:customStyle="1" w:styleId="61">
    <w:name w:val="MDPI_4.1.1_one_table_caption"/>
    <w:qFormat/>
    <w:uiPriority w:val="0"/>
    <w:pPr>
      <w:adjustRightInd w:val="0"/>
      <w:snapToGrid w:val="0"/>
      <w:spacing w:before="240" w:after="120" w:line="280" w:lineRule="atLeast"/>
      <w:jc w:val="center"/>
    </w:pPr>
    <w:rPr>
      <w:rFonts w:ascii="Palatino Linotype" w:hAnsi="Palatino Linotype" w:eastAsia="SimSun" w:cs="Cordia New"/>
      <w:color w:val="000000"/>
      <w:sz w:val="18"/>
      <w:szCs w:val="22"/>
      <w:lang w:val="en-US" w:eastAsia="zh-CN" w:bidi="en-US"/>
    </w:rPr>
  </w:style>
  <w:style w:type="paragraph" w:customStyle="1" w:styleId="62">
    <w:name w:val="MDPI_5.1.1_one_figure_caption"/>
    <w:qFormat/>
    <w:uiPriority w:val="0"/>
    <w:pPr>
      <w:adjustRightInd w:val="0"/>
      <w:snapToGrid w:val="0"/>
      <w:spacing w:before="240" w:after="120" w:line="280" w:lineRule="atLeast"/>
      <w:jc w:val="center"/>
    </w:pPr>
    <w:rPr>
      <w:rFonts w:ascii="Palatino Linotype" w:hAnsi="Palatino Linotype" w:eastAsia="SimSun" w:cs="Times New Roman"/>
      <w:color w:val="000000"/>
      <w:sz w:val="18"/>
      <w:lang w:val="en-US" w:eastAsia="zh-CN" w:bidi="en-US"/>
    </w:rPr>
  </w:style>
  <w:style w:type="paragraph" w:customStyle="1" w:styleId="63">
    <w:name w:val="MDPI_7.2_copyright"/>
    <w:qFormat/>
    <w:uiPriority w:val="0"/>
    <w:pPr>
      <w:adjustRightInd w:val="0"/>
      <w:snapToGrid w:val="0"/>
      <w:spacing w:before="120" w:line="240" w:lineRule="atLeast"/>
      <w:ind w:right="113"/>
    </w:pPr>
    <w:rPr>
      <w:rFonts w:ascii="Palatino Linotype" w:hAnsi="Palatino Linotype" w:eastAsia="Times New Roman" w:cs="Times New Roman"/>
      <w:snapToGrid w:val="0"/>
      <w:color w:val="000000"/>
      <w:sz w:val="14"/>
      <w:lang w:val="en-GB" w:eastAsia="en-GB" w:bidi="ar-SA"/>
    </w:rPr>
  </w:style>
  <w:style w:type="table" w:customStyle="1" w:styleId="64">
    <w:name w:val="MDPI_table"/>
    <w:basedOn w:val="3"/>
    <w:uiPriority w:val="99"/>
    <w:rPr>
      <w:rFonts w:ascii="Palatino Linotype" w:hAnsi="Palatino Linotype"/>
      <w:color w:val="000000"/>
      <w:lang w:val="en-CA" w:eastAsia="en-US"/>
    </w:rPr>
    <w:tblPr>
      <w:tblCellMar>
        <w:left w:w="0" w:type="dxa"/>
        <w:right w:w="0" w:type="dxa"/>
      </w:tblCellMar>
    </w:tblPr>
  </w:style>
  <w:style w:type="character" w:customStyle="1" w:styleId="65">
    <w:name w:val="apple-converted-space"/>
    <w:uiPriority w:val="0"/>
  </w:style>
  <w:style w:type="paragraph" w:customStyle="1" w:styleId="66">
    <w:name w:val="Bibliography"/>
    <w:basedOn w:val="1"/>
    <w:next w:val="1"/>
    <w:unhideWhenUsed/>
    <w:uiPriority w:val="37"/>
    <w:pPr>
      <w:spacing w:line="480" w:lineRule="atLeast"/>
      <w:ind w:left="720" w:hanging="720"/>
    </w:pPr>
  </w:style>
  <w:style w:type="character" w:customStyle="1" w:styleId="67">
    <w:name w:val="正文文本 字符"/>
    <w:link w:val="5"/>
    <w:uiPriority w:val="0"/>
    <w:rPr>
      <w:rFonts w:ascii="Palatino Linotype" w:hAnsi="Palatino Linotype"/>
      <w:color w:val="000000"/>
      <w:sz w:val="24"/>
      <w:lang w:eastAsia="de-DE"/>
    </w:rPr>
  </w:style>
  <w:style w:type="character" w:customStyle="1" w:styleId="68">
    <w:name w:val="批注文字 字符"/>
    <w:link w:val="7"/>
    <w:uiPriority w:val="0"/>
    <w:rPr>
      <w:rFonts w:ascii="Palatino Linotype" w:hAnsi="Palatino Linotype"/>
      <w:color w:val="000000"/>
    </w:rPr>
  </w:style>
  <w:style w:type="character" w:customStyle="1" w:styleId="69">
    <w:name w:val="批注主题 字符"/>
    <w:link w:val="8"/>
    <w:uiPriority w:val="0"/>
    <w:rPr>
      <w:rFonts w:ascii="Palatino Linotype" w:hAnsi="Palatino Linotype"/>
      <w:b/>
      <w:bCs/>
      <w:color w:val="000000"/>
    </w:rPr>
  </w:style>
  <w:style w:type="character" w:customStyle="1" w:styleId="70">
    <w:name w:val="尾注文本 字符"/>
    <w:link w:val="10"/>
    <w:semiHidden/>
    <w:uiPriority w:val="0"/>
    <w:rPr>
      <w:rFonts w:ascii="Palatino Linotype" w:hAnsi="Palatino Linotype"/>
      <w:color w:val="000000"/>
    </w:rPr>
  </w:style>
  <w:style w:type="character" w:customStyle="1" w:styleId="71">
    <w:name w:val="脚注文本 字符"/>
    <w:link w:val="13"/>
    <w:semiHidden/>
    <w:uiPriority w:val="0"/>
    <w:rPr>
      <w:rFonts w:ascii="Palatino Linotype" w:hAnsi="Palatino Linotype"/>
      <w:color w:val="000000"/>
    </w:rPr>
  </w:style>
  <w:style w:type="paragraph" w:customStyle="1" w:styleId="72">
    <w:name w:val="MsoFootnoteText"/>
    <w:basedOn w:val="17"/>
    <w:qFormat/>
    <w:uiPriority w:val="0"/>
    <w:rPr>
      <w:rFonts w:ascii="Times New Roman" w:hAnsi="Times New Roman"/>
    </w:rPr>
  </w:style>
  <w:style w:type="character" w:styleId="73">
    <w:name w:val="Placeholder Text"/>
    <w:semiHidden/>
    <w:uiPriority w:val="99"/>
    <w:rPr>
      <w:color w:val="808080"/>
    </w:rPr>
  </w:style>
  <w:style w:type="paragraph" w:customStyle="1" w:styleId="74">
    <w:name w:val="MDPI_7.1_footnotes"/>
    <w:qFormat/>
    <w:uiPriority w:val="0"/>
    <w:pPr>
      <w:numPr>
        <w:ilvl w:val="0"/>
        <w:numId w:val="4"/>
      </w:numPr>
      <w:adjustRightInd w:val="0"/>
      <w:snapToGrid w:val="0"/>
      <w:spacing w:line="280" w:lineRule="atLeast"/>
    </w:pPr>
    <w:rPr>
      <w:rFonts w:ascii="Palatino Linotype" w:hAnsi="Palatino Linotype" w:cs="Times New Roman" w:eastAsiaTheme="minorEastAsia"/>
      <w:color w:val="000000"/>
      <w:sz w:val="18"/>
      <w:lang w:val="en-US" w:eastAsia="zh-CN" w:bidi="ar-SA"/>
    </w:rPr>
  </w:style>
  <w:style w:type="paragraph" w:customStyle="1" w:styleId="75">
    <w:name w:val="ds-markdown-paragraph"/>
    <w:basedOn w:val="1"/>
    <w:uiPriority w:val="0"/>
    <w:pPr>
      <w:spacing w:before="100" w:beforeAutospacing="1" w:after="100" w:afterAutospacing="1" w:line="240" w:lineRule="auto"/>
      <w:jc w:val="left"/>
    </w:pPr>
    <w:rPr>
      <w:rFonts w:ascii="SimSun" w:hAnsi="SimSun" w:cs="SimSun"/>
      <w:color w:val="auto"/>
      <w:sz w:val="24"/>
      <w:szCs w:val="24"/>
    </w:rPr>
  </w:style>
  <w:style w:type="table" w:customStyle="1" w:styleId="76">
    <w:name w:val="样式1"/>
    <w:basedOn w:val="3"/>
    <w:uiPriority w:val="99"/>
    <w:rPr>
      <w:rFonts w:ascii="Times New Roman" w:hAnsi="Times New Roman"/>
    </w:rPr>
    <w:tblPr>
      <w:tblBorders>
        <w:top w:val="single" w:color="auto" w:sz="12" w:space="0"/>
        <w:bottom w:val="single" w:color="auto" w:sz="12" w:space="0"/>
      </w:tblBorders>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apple/Library/Containers/com.kingsoft.wpsoffice.mac/Data/D:\research%20artical\remotesensing-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5A7FDA-2B28-42CB-B459-71C095E9C0C0}">
  <ds:schemaRefs/>
</ds:datastoreItem>
</file>

<file path=docProps/app.xml><?xml version="1.0" encoding="utf-8"?>
<Properties xmlns="http://schemas.openxmlformats.org/officeDocument/2006/extended-properties" xmlns:vt="http://schemas.openxmlformats.org/officeDocument/2006/docPropsVTypes">
  <Template>remotesensing-template.dot</Template>
  <Pages>21</Pages>
  <Words>7006</Words>
  <Characters>162119</Characters>
  <Lines>1350</Lines>
  <Paragraphs>337</Paragraphs>
  <TotalTime>4</TotalTime>
  <ScaleCrop>false</ScaleCrop>
  <LinksUpToDate>false</LinksUpToDate>
  <CharactersWithSpaces>168788</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2026-05-21T23:24:00Z</dcterms:created>
  <dc:creator>css</dc:creator>
  <cp:lastModifiedBy>lijun</cp:lastModifiedBy>
  <dcterms:modified xsi:type="dcterms:W3CDTF">2026-08-02T16:46:01Z</dcterms:modified>
  <dc:title>Type of the Paper (Article</dc:title>
  <cp:revision>226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2f4c0169891849bf741dcead0da1da751694fbc2b9ea791076a1981d6698dfbe</vt:lpwstr>
  </property>
  <property fmtid="{D5CDD505-2E9C-101B-9397-08002B2CF9AE}" pid="3" name="ZOTERO_PREF_1">
    <vt:lpwstr>&lt;data data-version="3" zotero-version="9.0.5"&gt;&lt;session id="nrvnq5YZ"/&gt;&lt;style id="http://www.zotero.org/styles/apa" locale="en-US" hasBibliography="1" bibliographyStyleHasBeenSet="1"/&gt;&lt;prefs&gt;&lt;pref name="fieldType" value="Field"/&gt;&lt;/prefs&gt;&lt;/data&gt;</vt:lpwstr>
  </property>
  <property fmtid="{D5CDD505-2E9C-101B-9397-08002B2CF9AE}" pid="4" name="KSOProductBuildVer">
    <vt:lpwstr>1033-12.1.25205.25205</vt:lpwstr>
  </property>
  <property fmtid="{D5CDD505-2E9C-101B-9397-08002B2CF9AE}" pid="5" name="ICV">
    <vt:lpwstr>2212DFC4A0FFBA5CB9D66F6A0AFF9268_42</vt:lpwstr>
  </property>
</Properties>
</file>