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synthetic QA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数值</w:t>
            </w:r>
          </w:p>
        </w:tc>
      </w:tr>
      <w:tr>
        <w:tc>
          <w:tcPr>
            <w:tcW w:w="4513" w:type="dxa"/>
          </w:tcPr>
          <w:p>
            <w:r>
              <w:t xml:space="preserve">样例</w:t>
            </w:r>
          </w:p>
        </w:tc>
        <w:tc>
          <w:tcPr>
            <w:tcW w:w="4513" w:type="dxa"/>
          </w:tcPr>
          <w:p>
            <w:r>
              <w:t xml:space="preserve">19</w:t>
            </w:r>
          </w:p>
        </w:tc>
      </w:tr>
      <w:tr>
        <w:tc>
          <w:tcPr>
            <w:tcW w:w="4513" w:type="dxa"/>
          </w:tcPr>
          <w:p>
            <w:r>
              <w:t xml:space="preserve">第二行</w:t>
            </w:r>
          </w:p>
        </w:tc>
        <w:tc>
          <w:tcPr>
            <w:tcW w:w="4513" w:type="dxa"/>
          </w:tcPr>
          <w:p>
            <w:r>
              <w:t xml:space="preserve">中文 &amp; &lt;内容&gt;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