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10CDC" w14:textId="77777777" w:rsidR="002721D7" w:rsidRPr="00866FF4" w:rsidRDefault="002721D7" w:rsidP="002721D7">
      <w:pPr>
        <w:pStyle w:val="Title"/>
        <w:keepNext/>
        <w:rPr>
          <w:rFonts w:asciiTheme="minorHAnsi" w:hAnsiTheme="minorHAnsi"/>
          <w:b/>
          <w:bCs/>
          <w:sz w:val="28"/>
          <w:szCs w:val="28"/>
        </w:rPr>
      </w:pPr>
      <w:r w:rsidRPr="00866FF4">
        <w:rPr>
          <w:rFonts w:asciiTheme="minorHAnsi" w:hAnsiTheme="minorHAnsi"/>
          <w:b/>
          <w:bCs/>
          <w:sz w:val="28"/>
          <w:szCs w:val="28"/>
        </w:rPr>
        <w:t>Table 1 Related existing methods</w:t>
      </w:r>
    </w:p>
    <w:tbl>
      <w:tblPr>
        <w:tblW w:w="13770" w:type="dxa"/>
        <w:tblBorders>
          <w:top w:val="single" w:sz="12" w:space="0" w:color="DCD3EC"/>
          <w:bottom w:val="single" w:sz="12" w:space="0" w:color="DCD3E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870"/>
        <w:gridCol w:w="2037"/>
        <w:gridCol w:w="2579"/>
        <w:gridCol w:w="3704"/>
      </w:tblGrid>
      <w:tr w:rsidR="002721D7" w:rsidRPr="002721D7" w14:paraId="25693620" w14:textId="77777777" w:rsidTr="0041620A">
        <w:trPr>
          <w:tblHeader/>
        </w:trPr>
        <w:tc>
          <w:tcPr>
            <w:tcW w:w="0" w:type="auto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773F11" w14:textId="77777777" w:rsidR="002721D7" w:rsidRPr="002721D7" w:rsidRDefault="002721D7" w:rsidP="002721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 w:rsidRPr="002721D7"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3870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BB65A4" w14:textId="77777777" w:rsidR="002721D7" w:rsidRPr="002721D7" w:rsidRDefault="002721D7" w:rsidP="002721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 w:rsidRPr="002721D7"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Main mathematical object</w:t>
            </w:r>
          </w:p>
        </w:tc>
        <w:tc>
          <w:tcPr>
            <w:tcW w:w="2037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36FECC" w14:textId="77777777" w:rsidR="002721D7" w:rsidRPr="002721D7" w:rsidRDefault="002721D7" w:rsidP="002721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 w:rsidRPr="002721D7"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Used for</w:t>
            </w:r>
          </w:p>
        </w:tc>
        <w:tc>
          <w:tcPr>
            <w:tcW w:w="2579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D9B71F" w14:textId="77777777" w:rsidR="002721D7" w:rsidRPr="002721D7" w:rsidRDefault="002721D7" w:rsidP="002721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 w:rsidRPr="002721D7"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Output</w:t>
            </w:r>
          </w:p>
        </w:tc>
        <w:tc>
          <w:tcPr>
            <w:tcW w:w="3704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52E007" w14:textId="77777777" w:rsidR="002721D7" w:rsidRPr="002721D7" w:rsidRDefault="002721D7" w:rsidP="002721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 w:rsidRPr="002721D7"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Relation to this project</w:t>
            </w:r>
          </w:p>
        </w:tc>
      </w:tr>
      <w:tr w:rsidR="00797132" w:rsidRPr="002721D7" w14:paraId="2B019D22" w14:textId="77777777" w:rsidTr="0041620A">
        <w:trPr>
          <w:cantSplit/>
        </w:trPr>
        <w:tc>
          <w:tcPr>
            <w:tcW w:w="0" w:type="auto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4E2B56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4" w:history="1">
              <w:r w:rsidRPr="00791810">
                <w:rPr>
                  <w:rStyle w:val="Hyperlink"/>
                </w:rPr>
                <w:t>LIVI</w:t>
              </w:r>
            </w:hyperlink>
            <w:r>
              <w:t xml:space="preserve"> (2026 preprint)</w:t>
            </w:r>
            <w:r>
              <w:rPr>
                <w:sz w:val="20"/>
                <w:szCs w:val="20"/>
              </w:rPr>
              <w:t xml:space="preserve"> [3]</w:t>
            </w:r>
          </w:p>
        </w:tc>
        <w:tc>
          <w:tcPr>
            <w:tcW w:w="3870" w:type="dxa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E1678B" w14:textId="77777777" w:rsidR="00797132" w:rsidRDefault="00797132" w:rsidP="00797132">
            <w:pPr>
              <w:spacing w:after="0" w:line="240" w:lineRule="auto"/>
              <w:rPr>
                <w:rFonts w:ascii="Cambria Math" w:hAnsi="Cambria Math"/>
                <w:color w:val="000000" w:themeColor="text1"/>
              </w:rPr>
            </w:pPr>
            <w:r>
              <w:t xml:space="preserve">NB-VAE with cell-state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, donor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, and </w:t>
            </w:r>
            <m:oMath>
              <m:r>
                <w:rPr>
                  <w:rFonts w:ascii="Cambria Math" w:hAnsi="Cambria Math"/>
                </w:rPr>
                <m:t>D×C</m:t>
              </m:r>
            </m:oMath>
            <w:r>
              <w:t xml:space="preserve"> latent structure; First find the phenotype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X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VAE</m:t>
                      </m:r>
                    </m:e>
                  </m:box>
                </m:e>
              </m:groupCh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D×C</m:t>
                  </m:r>
                </m:sub>
              </m:sSub>
            </m:oMath>
            <w:r w:rsidRPr="00962407">
              <w:rPr>
                <w:color w:val="000000" w:themeColor="text1"/>
              </w:rPr>
              <w:t xml:space="preserve">, </w:t>
            </w:r>
            <w:r>
              <w:t xml:space="preserve">then map genotype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G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association test</m:t>
                      </m:r>
                    </m:e>
                  </m:box>
                </m:e>
              </m:groupCh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×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</m:oMath>
            <w:r w:rsidRPr="00962407">
              <w:rPr>
                <w:rFonts w:ascii="Cambria Math" w:hAnsi="Cambria Math"/>
                <w:color w:val="000000" w:themeColor="text1"/>
              </w:rPr>
              <w:t>.</w:t>
            </w:r>
          </w:p>
          <w:p w14:paraId="1F4E2F84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37" w:type="dxa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81A3A3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Mapping cell-state-dependent trans genetic effects.</w:t>
            </w:r>
          </w:p>
        </w:tc>
        <w:tc>
          <w:tcPr>
            <w:tcW w:w="2579" w:type="dxa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96F5F09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SNP–factor associations; projected cell/gene effects; responsive cells.</w:t>
            </w:r>
          </w:p>
        </w:tc>
        <w:tc>
          <w:tcPr>
            <w:tcW w:w="3704" w:type="dxa"/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9DA64D" w14:textId="77777777" w:rsidR="00797132" w:rsidRPr="002721D7" w:rsidRDefault="0073714A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 w:rsidRPr="0073714A">
              <w:rPr>
                <w:b/>
                <w:bCs/>
              </w:rPr>
              <w:t>Methodological neighbor.</w:t>
            </w:r>
            <w:r>
              <w:t xml:space="preserve"> </w:t>
            </w:r>
            <w:r w:rsidR="00797132">
              <w:t xml:space="preserve">Provides cell-resolved genetic-response projections, but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="00797132">
              <w:t>is learned first and frozen rather than jointly learned from genetic effects across cis loci.</w:t>
            </w:r>
          </w:p>
        </w:tc>
      </w:tr>
      <w:tr w:rsidR="00797132" w:rsidRPr="002721D7" w14:paraId="38AD5C10" w14:textId="77777777" w:rsidTr="0041620A">
        <w:trPr>
          <w:cantSplit/>
        </w:trPr>
        <w:tc>
          <w:tcPr>
            <w:tcW w:w="0" w:type="auto"/>
            <w:tcBorders>
              <w:top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F5EDED" w14:textId="61B1608F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5" w:history="1">
              <w:r w:rsidRPr="008409FA">
                <w:rPr>
                  <w:rStyle w:val="Hyperlink"/>
                  <w:sz w:val="22"/>
                  <w:szCs w:val="22"/>
                </w:rPr>
                <w:t>GASPACHO</w:t>
              </w:r>
            </w:hyperlink>
            <w:r>
              <w:t xml:space="preserve"> (2023)</w:t>
            </w:r>
            <w:r>
              <w:rPr>
                <w:sz w:val="20"/>
                <w:szCs w:val="20"/>
              </w:rPr>
              <w:t xml:space="preserve"> [</w:t>
            </w:r>
            <w:r w:rsidR="00866FF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3870" w:type="dxa"/>
            <w:tcBorders>
              <w:top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B58F5D" w14:textId="77777777" w:rsidR="00797132" w:rsidRPr="002B568B" w:rsidRDefault="00797132" w:rsidP="00797132">
            <w:pPr>
              <w:spacing w:after="0" w:line="240" w:lineRule="auto"/>
              <w:rPr>
                <w:i/>
              </w:rPr>
            </w:pPr>
            <w:r>
              <w:t xml:space="preserve">GPLVM for continuous latent cellular state C from expression X, followed by Gaussian-process regression for state-dependent QTL effects. </w:t>
            </w:r>
            <m:oMath>
              <m:r>
                <w:rPr>
                  <w:rFonts w:ascii="Cambria Math" w:hAnsi="Cambria Math"/>
                </w:rPr>
                <m:t>Y ~f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+Gβ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,  β(C)~GP</m:t>
              </m:r>
            </m:oMath>
          </w:p>
          <w:p w14:paraId="4049BCC6" w14:textId="77777777" w:rsidR="00797132" w:rsidRPr="00ED46EB" w:rsidRDefault="00797132" w:rsidP="00797132">
            <w:pPr>
              <w:spacing w:after="0" w:line="240" w:lineRule="auto"/>
              <w:rPr>
                <w:spacing w:val="2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37" w:type="dxa"/>
            <w:tcBorders>
              <w:top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DBD789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Mapping nonlinear, dynamic genetic effects across continuous cellular states.</w:t>
            </w:r>
          </w:p>
        </w:tc>
        <w:tc>
          <w:tcPr>
            <w:tcW w:w="2579" w:type="dxa"/>
            <w:tcBorders>
              <w:top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E89A47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Cellular trajectories and state-dependent genetic-effect functions.</w:t>
            </w:r>
          </w:p>
        </w:tc>
        <w:tc>
          <w:tcPr>
            <w:tcW w:w="3704" w:type="dxa"/>
            <w:tcBorders>
              <w:top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1738B22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 w:rsidRPr="00820E78">
              <w:rPr>
                <w:rStyle w:val="Strong"/>
              </w:rPr>
              <w:t>Close conceptual precedent.</w:t>
            </w:r>
            <w:r>
              <w:t xml:space="preserve"> It learns continuous cellular states and models genetic effects, but state inference and genetic association are performed sequentially.</w:t>
            </w:r>
          </w:p>
        </w:tc>
      </w:tr>
      <w:tr w:rsidR="00797132" w:rsidRPr="002721D7" w14:paraId="69A08AAD" w14:textId="77777777" w:rsidTr="0041620A">
        <w:trPr>
          <w:cantSplit/>
        </w:trPr>
        <w:tc>
          <w:tcPr>
            <w:tcW w:w="0" w:type="auto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DB19AF1" w14:textId="77777777" w:rsidR="00797132" w:rsidRPr="002B568B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14:ligatures w14:val="none"/>
              </w:rPr>
            </w:pPr>
            <w:hyperlink r:id="rId6" w:history="1">
              <w:proofErr w:type="spellStart"/>
              <w:r w:rsidRPr="0073714A">
                <w:rPr>
                  <w:rStyle w:val="Hyperlink"/>
                  <w:rFonts w:ascii="Segoe UI" w:eastAsia="Times New Roman" w:hAnsi="Segoe UI" w:cs="Segoe UI"/>
                  <w:spacing w:val="2"/>
                  <w:kern w:val="0"/>
                  <w14:ligatures w14:val="none"/>
                </w:rPr>
                <w:t>scooby</w:t>
              </w:r>
              <w:proofErr w:type="spellEnd"/>
            </w:hyperlink>
            <w:r w:rsidRPr="002B568B">
              <w:rPr>
                <w:rFonts w:ascii="Segoe UI" w:eastAsia="Times New Roman" w:hAnsi="Segoe UI" w:cs="Segoe UI"/>
                <w:spacing w:val="2"/>
                <w:kern w:val="0"/>
                <w14:ligatures w14:val="none"/>
              </w:rPr>
              <w:t xml:space="preserve"> (2025)</w:t>
            </w:r>
            <w:r w:rsidR="0073714A">
              <w:rPr>
                <w:sz w:val="20"/>
                <w:szCs w:val="20"/>
              </w:rPr>
              <w:t xml:space="preserve"> [4]</w:t>
            </w:r>
          </w:p>
        </w:tc>
        <w:tc>
          <w:tcPr>
            <w:tcW w:w="3870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91F42E" w14:textId="77777777" w:rsidR="00797132" w:rsidRPr="002D1B8F" w:rsidRDefault="00797132" w:rsidP="00797132">
            <w:pPr>
              <w:spacing w:after="0" w:line="240" w:lineRule="auto"/>
            </w:pPr>
            <w:r>
              <w:t>DNA sequence + single-cell state embedding → Predict cell-specific RNA/ATAC profiles</w:t>
            </w:r>
          </w:p>
        </w:tc>
        <w:tc>
          <w:tcPr>
            <w:tcW w:w="2037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516073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Predicting cell-specific gene regulation and variant effects from sequence.</w:t>
            </w:r>
          </w:p>
        </w:tc>
        <w:tc>
          <w:tcPr>
            <w:tcW w:w="2579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EE1084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Reference/alternative sequence prediction differences at cell and gene level.</w:t>
            </w:r>
          </w:p>
        </w:tc>
        <w:tc>
          <w:tcPr>
            <w:tcW w:w="3704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FC71A4" w14:textId="77777777" w:rsidR="00797132" w:rsidRPr="002721D7" w:rsidRDefault="00797132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rPr>
                <w:rStyle w:val="Strong"/>
              </w:rPr>
              <w:t>Adjacent precedent.</w:t>
            </w:r>
            <w:r>
              <w:t xml:space="preserve"> It already produces cell-specific variant-effect maps, but the effect is a sequence-model prediction difference rather than a donor-based cis-</w:t>
            </w:r>
            <w:proofErr w:type="spellStart"/>
            <w:r>
              <w:t>eQTL</w:t>
            </w:r>
            <w:proofErr w:type="spellEnd"/>
            <w:r>
              <w:t xml:space="preserve"> </w:t>
            </w:r>
            <w:proofErr w:type="gramStart"/>
            <w:r>
              <w:t>slope,.</w:t>
            </w:r>
            <w:proofErr w:type="gramEnd"/>
          </w:p>
        </w:tc>
      </w:tr>
      <w:tr w:rsidR="00797132" w:rsidRPr="002721D7" w14:paraId="6E33D3D8" w14:textId="77777777" w:rsidTr="0041620A">
        <w:trPr>
          <w:cantSplit/>
        </w:trPr>
        <w:tc>
          <w:tcPr>
            <w:tcW w:w="0" w:type="auto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EF4F07B" w14:textId="77777777" w:rsidR="003E3E02" w:rsidRDefault="00E4189B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7" w:history="1">
              <w:r w:rsidRPr="00E4189B">
                <w:rPr>
                  <w:rStyle w:val="Hyperlink"/>
                  <w:rFonts w:ascii="Segoe UI" w:eastAsia="Times New Roman" w:hAnsi="Segoe UI" w:cs="Segoe UI"/>
                  <w:spacing w:val="2"/>
                  <w:kern w:val="0"/>
                  <w:sz w:val="22"/>
                  <w:szCs w:val="22"/>
                  <w14:ligatures w14:val="none"/>
                </w:rPr>
                <w:t>LEMUR</w:t>
              </w:r>
            </w:hyperlink>
          </w:p>
          <w:p w14:paraId="25BA6C29" w14:textId="77777777" w:rsidR="009167F4" w:rsidRDefault="009167F4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  <w:t>(2025)</w:t>
            </w:r>
            <w:r>
              <w:rPr>
                <w:sz w:val="20"/>
                <w:szCs w:val="20"/>
              </w:rPr>
              <w:t xml:space="preserve"> [7]</w:t>
            </w:r>
          </w:p>
        </w:tc>
        <w:tc>
          <w:tcPr>
            <w:tcW w:w="3870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BD433B0" w14:textId="77777777" w:rsidR="0073714A" w:rsidRDefault="000061BC" w:rsidP="00797132">
            <w:pPr>
              <w:spacing w:after="0" w:line="240" w:lineRule="auto"/>
            </w:pPr>
            <w:r>
              <w:t xml:space="preserve">Condition-dependent latent embedding with multivariate regression. </w:t>
            </w:r>
          </w:p>
          <w:p w14:paraId="16CFDC21" w14:textId="77777777" w:rsidR="00797132" w:rsidRDefault="00DA7869" w:rsidP="00797132">
            <w:pPr>
              <w:spacing w:after="0" w:line="240" w:lineRule="auto"/>
            </w:pPr>
            <w:r>
              <w:t>Known c</w:t>
            </w:r>
            <w:r w:rsidR="0090776C">
              <w:t>ondition</w:t>
            </w:r>
            <w:r>
              <w:t>/ covariate effect</w:t>
            </w:r>
            <w:r w:rsidR="00F576DA"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F576DA">
              <w:t xml:space="preserve"> continuous </w:t>
            </w:r>
            <w:r w:rsidR="004D18CE">
              <w:t>cell latent state</w:t>
            </w:r>
            <w:r w:rsidR="00370A64">
              <w:sym w:font="Symbol" w:char="F0AE"/>
            </w:r>
            <w:r w:rsidR="00F576DA">
              <w:t xml:space="preserve"> </w:t>
            </w:r>
            <w:r w:rsidR="009F7AE6">
              <w:rPr>
                <w:rStyle w:val="mord"/>
              </w:rPr>
              <w:t>cell</w:t>
            </w:r>
            <w:r w:rsidR="0090776C">
              <w:rPr>
                <w:rStyle w:val="mord"/>
              </w:rPr>
              <w:t>-</w:t>
            </w:r>
            <w:r w:rsidR="009F7AE6">
              <w:rPr>
                <w:rStyle w:val="mord"/>
              </w:rPr>
              <w:t>specific expression response</w:t>
            </w:r>
          </w:p>
        </w:tc>
        <w:tc>
          <w:tcPr>
            <w:tcW w:w="2037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F3C94C3" w14:textId="77777777" w:rsidR="00797132" w:rsidRDefault="0041620A" w:rsidP="00797132">
            <w:pPr>
              <w:spacing w:after="0" w:line="240" w:lineRule="auto"/>
            </w:pPr>
            <w:r>
              <w:t>Modeling how single-cell expression programs change across experimental or biological conditions.</w:t>
            </w:r>
          </w:p>
        </w:tc>
        <w:tc>
          <w:tcPr>
            <w:tcW w:w="2579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223CE37" w14:textId="77777777" w:rsidR="00797132" w:rsidRDefault="00AD6F47" w:rsidP="00797132">
            <w:pPr>
              <w:spacing w:after="0" w:line="240" w:lineRule="auto"/>
            </w:pPr>
            <w:r>
              <w:t>Cell- and gene-specific condition effects, counterfactual expression predictions, and local DE neighborhoods.</w:t>
            </w:r>
          </w:p>
        </w:tc>
        <w:tc>
          <w:tcPr>
            <w:tcW w:w="3704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2AAD180" w14:textId="77777777" w:rsidR="00797132" w:rsidRDefault="00A21452" w:rsidP="00797132">
            <w:pPr>
              <w:spacing w:after="0" w:line="240" w:lineRule="auto"/>
              <w:rPr>
                <w:rStyle w:val="Strong"/>
              </w:rPr>
            </w:pPr>
            <w:r>
              <w:rPr>
                <w:rStyle w:val="Strong"/>
              </w:rPr>
              <w:t>Conceptual neighbor.</w:t>
            </w:r>
            <w:r>
              <w:t xml:space="preserve"> It learns response-oriented cellular representations and cell-specific condition effects, but the perturbation is a general condition/covariate rather than a cis genotype.</w:t>
            </w:r>
          </w:p>
        </w:tc>
      </w:tr>
      <w:tr w:rsidR="00797132" w:rsidRPr="002721D7" w14:paraId="49AC7244" w14:textId="77777777" w:rsidTr="0041620A">
        <w:trPr>
          <w:cantSplit/>
        </w:trPr>
        <w:tc>
          <w:tcPr>
            <w:tcW w:w="0" w:type="auto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552F616" w14:textId="77777777" w:rsidR="00797132" w:rsidRDefault="007D5B68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8" w:history="1">
              <w:proofErr w:type="spellStart"/>
              <w:r w:rsidRPr="007D5B68">
                <w:rPr>
                  <w:rStyle w:val="Hyperlink"/>
                  <w:rFonts w:ascii="Segoe UI" w:eastAsia="Times New Roman" w:hAnsi="Segoe UI" w:cs="Segoe UI"/>
                  <w:spacing w:val="2"/>
                  <w:kern w:val="0"/>
                  <w:sz w:val="22"/>
                  <w:szCs w:val="22"/>
                  <w14:ligatures w14:val="none"/>
                </w:rPr>
                <w:t>MrVI</w:t>
              </w:r>
              <w:proofErr w:type="spellEnd"/>
            </w:hyperlink>
          </w:p>
          <w:p w14:paraId="6AB79B0F" w14:textId="77777777" w:rsidR="007D5B68" w:rsidRDefault="007D5B68" w:rsidP="00797132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  <w:t>(2025)</w:t>
            </w:r>
            <w:r>
              <w:rPr>
                <w:sz w:val="20"/>
                <w:szCs w:val="20"/>
              </w:rPr>
              <w:t xml:space="preserve"> [5]</w:t>
            </w:r>
          </w:p>
        </w:tc>
        <w:tc>
          <w:tcPr>
            <w:tcW w:w="3870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0C46BF6" w14:textId="77777777" w:rsidR="00BF10DC" w:rsidRDefault="00BF10DC" w:rsidP="00797132">
            <w:pPr>
              <w:spacing w:after="0" w:line="240" w:lineRule="auto"/>
            </w:pPr>
            <w:r>
              <w:t xml:space="preserve">Sample-unaware cell state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 xml:space="preserve">+ sample identity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>→ sample-aware cell state</w:t>
            </w:r>
            <w:r>
              <w:rPr>
                <w:rFonts w:ascii="Cambria Math" w:hAnsi="Cambria Math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</m:oMath>
            <w:r>
              <w:t>→ NB cell-specific gene expression.</w:t>
            </w:r>
          </w:p>
        </w:tc>
        <w:tc>
          <w:tcPr>
            <w:tcW w:w="2037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A6E8A38" w14:textId="77777777" w:rsidR="00797132" w:rsidRDefault="00FF356E" w:rsidP="00797132">
            <w:pPr>
              <w:spacing w:after="0" w:line="240" w:lineRule="auto"/>
            </w:pPr>
            <w:r>
              <w:t>Modeling sample-level heterogeneity in single-cell data without predefined cell types.</w:t>
            </w:r>
          </w:p>
        </w:tc>
        <w:tc>
          <w:tcPr>
            <w:tcW w:w="2579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B9559E" w14:textId="77777777" w:rsidR="00797132" w:rsidRDefault="00820E78" w:rsidP="00797132">
            <w:pPr>
              <w:spacing w:after="0" w:line="240" w:lineRule="auto"/>
            </w:pPr>
            <w:r>
              <w:t>Cell-specific counterfactual states, local sample-distance matrices, sample/covariate effects on gene expression.</w:t>
            </w:r>
          </w:p>
        </w:tc>
        <w:tc>
          <w:tcPr>
            <w:tcW w:w="3704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A166EFA" w14:textId="77777777" w:rsidR="00797132" w:rsidRDefault="00820E78" w:rsidP="00797132">
            <w:pPr>
              <w:spacing w:after="0" w:line="240" w:lineRule="auto"/>
              <w:rPr>
                <w:rStyle w:val="Strong"/>
              </w:rPr>
            </w:pPr>
            <w:r>
              <w:rPr>
                <w:rStyle w:val="Strong"/>
              </w:rPr>
              <w:t>Conceptual neighbor.</w:t>
            </w:r>
            <w:r>
              <w:t xml:space="preserve"> It learns how donor/sample identity changes cellular states at single-cell resolution, but this is a whole-sample effect rather than a specific cis-allele effect.</w:t>
            </w:r>
          </w:p>
        </w:tc>
      </w:tr>
      <w:tr w:rsidR="00790237" w:rsidRPr="002721D7" w14:paraId="093EC65B" w14:textId="77777777" w:rsidTr="0041620A">
        <w:trPr>
          <w:cantSplit/>
        </w:trPr>
        <w:tc>
          <w:tcPr>
            <w:tcW w:w="0" w:type="auto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C507C43" w14:textId="77777777" w:rsidR="00790237" w:rsidRDefault="00790237" w:rsidP="00797132">
            <w:pPr>
              <w:spacing w:after="0" w:line="240" w:lineRule="auto"/>
            </w:pPr>
          </w:p>
          <w:p w14:paraId="4F04C029" w14:textId="77777777" w:rsidR="00790237" w:rsidRDefault="00790237" w:rsidP="00797132">
            <w:pPr>
              <w:spacing w:after="0" w:line="240" w:lineRule="auto"/>
            </w:pPr>
          </w:p>
        </w:tc>
        <w:tc>
          <w:tcPr>
            <w:tcW w:w="3870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44CB97E" w14:textId="77777777" w:rsidR="00790237" w:rsidRDefault="00790237" w:rsidP="00797132">
            <w:pPr>
              <w:spacing w:after="0" w:line="240" w:lineRule="auto"/>
            </w:pPr>
          </w:p>
        </w:tc>
        <w:tc>
          <w:tcPr>
            <w:tcW w:w="2037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E74CD06" w14:textId="77777777" w:rsidR="00790237" w:rsidRDefault="00790237" w:rsidP="00797132">
            <w:pPr>
              <w:spacing w:after="0" w:line="240" w:lineRule="auto"/>
            </w:pPr>
          </w:p>
        </w:tc>
        <w:tc>
          <w:tcPr>
            <w:tcW w:w="2579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1EA2623" w14:textId="77777777" w:rsidR="00790237" w:rsidRDefault="00790237" w:rsidP="00797132">
            <w:pPr>
              <w:spacing w:after="0" w:line="240" w:lineRule="auto"/>
            </w:pPr>
          </w:p>
        </w:tc>
        <w:tc>
          <w:tcPr>
            <w:tcW w:w="3704" w:type="dxa"/>
            <w:tcBorders>
              <w:top w:val="single" w:sz="6" w:space="0" w:color="EFEAF7"/>
              <w:bottom w:val="single" w:sz="6" w:space="0" w:color="EFEAF7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EC5E713" w14:textId="77777777" w:rsidR="00790237" w:rsidRDefault="00790237" w:rsidP="00797132">
            <w:pPr>
              <w:spacing w:after="0" w:line="240" w:lineRule="auto"/>
              <w:rPr>
                <w:rStyle w:val="Strong"/>
              </w:rPr>
            </w:pPr>
          </w:p>
        </w:tc>
      </w:tr>
    </w:tbl>
    <w:p w14:paraId="77A887DF" w14:textId="0A212B1B" w:rsidR="00797132" w:rsidRPr="00866FF4" w:rsidRDefault="002721D7" w:rsidP="00832DA4">
      <w:pPr>
        <w:pStyle w:val="Title"/>
        <w:keepNext/>
        <w:pageBreakBefore/>
        <w:pBdr>
          <w:top w:val="nil"/>
          <w:left w:val="nil"/>
          <w:bottom w:val="nil"/>
          <w:right w:val="nil"/>
        </w:pBdr>
        <w:rPr>
          <w:rFonts w:asciiTheme="minorHAnsi" w:hAnsiTheme="minorHAnsi"/>
          <w:b/>
          <w:bCs/>
          <w:sz w:val="28"/>
          <w:szCs w:val="28"/>
        </w:rPr>
      </w:pPr>
      <w:r w:rsidRPr="00866FF4">
        <w:rPr>
          <w:rFonts w:asciiTheme="minorHAnsi" w:hAnsiTheme="minorHAnsi"/>
          <w:b/>
          <w:color w:val="000000"/>
          <w:sz w:val="28"/>
          <w:szCs w:val="28"/>
        </w:rPr>
        <w:t xml:space="preserve">Table </w:t>
      </w:r>
      <w:r w:rsidR="00790237" w:rsidRPr="00866FF4">
        <w:rPr>
          <w:rFonts w:asciiTheme="minorHAnsi" w:hAnsiTheme="minorHAnsi"/>
          <w:b/>
          <w:color w:val="000000"/>
          <w:sz w:val="28"/>
          <w:szCs w:val="28"/>
        </w:rPr>
        <w:t xml:space="preserve">2 </w:t>
      </w:r>
      <w:r w:rsidR="00790237">
        <w:rPr>
          <w:rFonts w:asciiTheme="minorHAnsi" w:hAnsiTheme="minorHAnsi"/>
          <w:b/>
          <w:color w:val="000000"/>
          <w:sz w:val="28"/>
          <w:szCs w:val="28"/>
        </w:rPr>
        <w:t>C</w:t>
      </w:r>
      <w:r w:rsidRPr="00866FF4">
        <w:rPr>
          <w:rFonts w:asciiTheme="minorHAnsi" w:hAnsiTheme="minorHAnsi"/>
          <w:b/>
          <w:color w:val="000000"/>
          <w:sz w:val="28"/>
          <w:szCs w:val="28"/>
        </w:rPr>
        <w:t>ompeting concepts</w:t>
      </w:r>
    </w:p>
    <w:tbl>
      <w:tblPr>
        <w:tblW w:w="13770" w:type="dxa"/>
        <w:tblBorders>
          <w:top w:val="single" w:sz="12" w:space="0" w:color="DCD3EC"/>
          <w:bottom w:val="single" w:sz="12" w:space="0" w:color="DCD3E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081"/>
        <w:gridCol w:w="3215"/>
        <w:gridCol w:w="2607"/>
        <w:gridCol w:w="4078"/>
      </w:tblGrid>
      <w:tr w:rsidR="002721D7" w:rsidRPr="002721D7" w14:paraId="151801AC" w14:textId="77777777" w:rsidTr="00506961">
        <w:trPr>
          <w:tblHeader/>
        </w:trPr>
        <w:tc>
          <w:tcPr>
            <w:tcW w:w="1789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7168CE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2081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CE64CC" w14:textId="06C8D043" w:rsidR="00CF530D" w:rsidRDefault="0079023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Conceptual</w:t>
            </w:r>
            <w:r w:rsidR="00000000"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territory</w:t>
            </w:r>
          </w:p>
        </w:tc>
        <w:tc>
          <w:tcPr>
            <w:tcW w:w="3215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FDEEA1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Main mathematical object</w:t>
            </w:r>
          </w:p>
        </w:tc>
        <w:tc>
          <w:tcPr>
            <w:tcW w:w="2607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B86E62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Biological interpretation</w:t>
            </w:r>
          </w:p>
        </w:tc>
        <w:tc>
          <w:tcPr>
            <w:tcW w:w="4078" w:type="dxa"/>
            <w:tcBorders>
              <w:bottom w:val="single" w:sz="8" w:space="0" w:color="DCD3EC"/>
            </w:tcBorders>
            <w:shd w:val="clear" w:color="auto" w:fill="FFFFFF"/>
            <w:tcMar>
              <w:top w:w="9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6F5B8D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6A6076"/>
                <w:spacing w:val="7"/>
                <w:kern w:val="0"/>
                <w:sz w:val="20"/>
                <w:szCs w:val="20"/>
                <w14:ligatures w14:val="none"/>
              </w:rPr>
              <w:t>Relation to regulotype</w:t>
            </w:r>
          </w:p>
        </w:tc>
      </w:tr>
      <w:tr w:rsidR="00797132" w:rsidRPr="002721D7" w14:paraId="41920F21" w14:textId="77777777" w:rsidTr="00506961">
        <w:trPr>
          <w:cantSplit/>
        </w:trPr>
        <w:tc>
          <w:tcPr>
            <w:tcW w:w="1789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04E7F8" w14:textId="77777777" w:rsidR="00CF530D" w:rsidRDefault="00CF530D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9">
              <w:r>
                <w:rPr>
                  <w:color w:val="3E8095"/>
                  <w:u w:val="single"/>
                </w:rPr>
                <w:t>SURGE</w:t>
              </w:r>
            </w:hyperlink>
            <w:r w:rsidR="00000000">
              <w:br/>
            </w:r>
            <w:r w:rsidR="00000000">
              <w:rPr>
                <w:sz w:val="20"/>
                <w:szCs w:val="20"/>
              </w:rPr>
              <w:t>Strober et al.</w:t>
            </w:r>
            <w:r w:rsidR="00000000">
              <w:br/>
            </w:r>
            <w:r w:rsidR="00000000">
              <w:rPr>
                <w:sz w:val="20"/>
                <w:szCs w:val="20"/>
              </w:rPr>
              <w:t>(2024) [1]</w:t>
            </w:r>
          </w:p>
        </w:tc>
        <w:tc>
          <w:tcPr>
            <w:tcW w:w="2081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43EFAF" w14:textId="77777777" w:rsidR="00CF530D" w:rsidRDefault="00000000">
            <w:pPr>
              <w:spacing w:after="0" w:line="240" w:lineRule="auto"/>
              <w:rPr>
                <w:rFonts w:ascii="Cambria Math" w:hAnsi="Cambria Math"/>
                <w:color w:val="000000" w:themeColor="text1"/>
              </w:rPr>
            </w:pPr>
            <w:r>
              <w:t>Cellular axes of genetic regulation</w:t>
            </w:r>
          </w:p>
        </w:tc>
        <w:tc>
          <w:tcPr>
            <w:tcW w:w="3215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14ED734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Shared latent contexts and locus loadings imply a genetic-effect vector for each cell:</w:t>
            </w:r>
          </w:p>
          <w:p w14:paraId="68A2BC6E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  <w:p w14:paraId="4623C04C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607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494F282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Discovers continuous contexts across independent variant–gene pairs and relates them to cell types and disease-associated regulation.</w:t>
            </w:r>
          </w:p>
        </w:tc>
        <w:tc>
          <w:tcPr>
            <w:tcW w:w="4078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284955" w14:textId="0473CF4B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rPr>
                <w:b/>
              </w:rPr>
              <w:t>Closest precedent.</w:t>
            </w:r>
            <w:r>
              <w:t xml:space="preserve"> A cross-locus cell profile is implicit in its fitted coefficients. Restating it as R does not create a new mathematical object; its use as a validated cellular representation needs separate evidence.</w:t>
            </w:r>
          </w:p>
        </w:tc>
      </w:tr>
      <w:tr w:rsidR="00797132" w:rsidRPr="002721D7" w14:paraId="6052A51B" w14:textId="77777777" w:rsidTr="00506961">
        <w:trPr>
          <w:cantSplit/>
        </w:trPr>
        <w:tc>
          <w:tcPr>
            <w:tcW w:w="1789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5B493F" w14:textId="77777777" w:rsidR="00CF530D" w:rsidRDefault="00CF530D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10">
              <w:r>
                <w:rPr>
                  <w:color w:val="3E8095"/>
                  <w:u w:val="single"/>
                </w:rPr>
                <w:t>CellRegMap</w:t>
              </w:r>
            </w:hyperlink>
            <w:r w:rsidR="00000000">
              <w:br/>
            </w:r>
            <w:r w:rsidR="00000000">
              <w:rPr>
                <w:sz w:val="20"/>
                <w:szCs w:val="20"/>
              </w:rPr>
              <w:t>Cuomo et al.</w:t>
            </w:r>
            <w:r w:rsidR="00000000">
              <w:br/>
            </w:r>
            <w:r w:rsidR="00000000">
              <w:rPr>
                <w:sz w:val="20"/>
                <w:szCs w:val="20"/>
              </w:rPr>
              <w:t>(2022) [2]</w:t>
            </w:r>
          </w:p>
        </w:tc>
        <w:tc>
          <w:tcPr>
            <w:tcW w:w="2081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815AAB7" w14:textId="77777777" w:rsidR="00CF530D" w:rsidRDefault="00000000">
            <w:pPr>
              <w:spacing w:after="0" w:line="240" w:lineRule="auto"/>
              <w:rPr>
                <w:rFonts w:ascii="Cambria Math" w:hAnsi="Cambria Math"/>
                <w:color w:val="000000" w:themeColor="text1"/>
              </w:rPr>
            </w:pPr>
            <w:r>
              <w:t>Cell-resolved allelic-effect profiles</w:t>
            </w:r>
          </w:p>
        </w:tc>
        <w:tc>
          <w:tcPr>
            <w:tcW w:w="3215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242E422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A persistent effect plus a cell-specific random effect for each variant–gene pair:</w:t>
            </w:r>
          </w:p>
          <w:p w14:paraId="2B36A1ED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si</m:t>
                    </m:r>
                  </m:sub>
                </m:sSub>
              </m:oMath>
            </m:oMathPara>
          </w:p>
          <w:p w14:paraId="69EED610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∼ N(0,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07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A972345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Estimates allelic effects in individual cells, clusters eQTL effect patterns and selects responsive cell populations.</w:t>
            </w:r>
          </w:p>
        </w:tc>
        <w:tc>
          <w:tcPr>
            <w:tcW w:w="4078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30C06B" w14:textId="66A62B19" w:rsidR="00CF530D" w:rsidRDefault="006355B6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 w:rsidRPr="006355B6">
              <w:rPr>
                <w:b/>
                <w:bCs/>
              </w:rPr>
              <w:t>E</w:t>
            </w:r>
            <w:r w:rsidR="00000000" w:rsidRPr="006355B6">
              <w:rPr>
                <w:b/>
                <w:bCs/>
              </w:rPr>
              <w:t>stimates allelic responses and selects responsive cells</w:t>
            </w:r>
            <w:r w:rsidR="00000000">
              <w:t>. Stacking separate locus fits yields a cell profile, but the paper does not establish a common cross-locus cell representation.</w:t>
            </w:r>
          </w:p>
        </w:tc>
      </w:tr>
      <w:tr w:rsidR="00797132" w:rsidRPr="002721D7" w14:paraId="2B3ED0F7" w14:textId="77777777" w:rsidTr="00506961">
        <w:trPr>
          <w:cantSplit/>
        </w:trPr>
        <w:tc>
          <w:tcPr>
            <w:tcW w:w="1789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D94EDA6" w14:textId="77777777" w:rsidR="00CF530D" w:rsidRDefault="00CF530D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11">
              <w:r>
                <w:rPr>
                  <w:color w:val="3E8095"/>
                  <w:u w:val="single"/>
                </w:rPr>
                <w:t>LIVI</w:t>
              </w:r>
            </w:hyperlink>
            <w:r w:rsidR="00000000">
              <w:br/>
            </w:r>
            <w:r w:rsidR="00000000">
              <w:rPr>
                <w:sz w:val="20"/>
                <w:szCs w:val="20"/>
              </w:rPr>
              <w:t>Vagiaki et al.</w:t>
            </w:r>
            <w:r w:rsidR="00000000">
              <w:br/>
            </w:r>
            <w:r w:rsidR="00000000">
              <w:rPr>
                <w:sz w:val="20"/>
                <w:szCs w:val="20"/>
              </w:rPr>
              <w:t>(2026 preprint) [3]</w:t>
            </w:r>
          </w:p>
        </w:tc>
        <w:tc>
          <w:tcPr>
            <w:tcW w:w="2081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56DE846" w14:textId="77777777" w:rsidR="00CF530D" w:rsidRDefault="00000000">
            <w:pPr>
              <w:spacing w:after="0" w:line="240" w:lineRule="auto"/>
              <w:rPr>
                <w:rFonts w:ascii="Cambria Math" w:hAnsi="Cambria Math"/>
                <w:color w:val="000000" w:themeColor="text1"/>
              </w:rPr>
            </w:pPr>
            <w:r>
              <w:t>Cell-specific genetic response of gene programs</w:t>
            </w:r>
          </w:p>
        </w:tc>
        <w:tc>
          <w:tcPr>
            <w:tcW w:w="3215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2A844A" w14:textId="77777777" w:rsidR="006355B6" w:rsidRDefault="00000000">
            <w:pPr>
              <w:spacing w:after="0" w:line="240" w:lineRule="auto"/>
            </w:pPr>
            <w:r>
              <w:t>SNP effects on donor factors, projected through cell-state gates to cells and through loadings to genes</w:t>
            </w:r>
            <w:r w:rsidR="006355B6">
              <w:t>:</w:t>
            </w:r>
          </w:p>
          <w:p w14:paraId="2BD8E7B4" w14:textId="77777777" w:rsidR="006355B6" w:rsidRPr="006355B6" w:rsidRDefault="006355B6">
            <w:pPr>
              <w:spacing w:after="0"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X </m:t>
                </m:r>
                <m:r>
                  <w:rPr>
                    <w:rFonts w:ascii="Cambria Math" w:hAnsi="Cambria Math"/>
                    <w:i/>
                  </w:rPr>
                  <w:sym w:font="Symbol" w:char="F0AE"/>
                </m:r>
                <m:r>
                  <w:rPr>
                    <w:rFonts w:ascii="Cambria Math" w:hAnsi="Cambria Math"/>
                  </w:rPr>
                  <m:t xml:space="preserve"> D×C</m:t>
                </m:r>
              </m:oMath>
            </m:oMathPara>
          </w:p>
          <w:p w14:paraId="54749FA4" w14:textId="5943C3CA" w:rsidR="006355B6" w:rsidRPr="006355B6" w:rsidRDefault="006355B6">
            <w:pPr>
              <w:spacing w:after="0"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G↔D</m:t>
                </m:r>
              </m:oMath>
            </m:oMathPara>
          </w:p>
        </w:tc>
        <w:tc>
          <w:tcPr>
            <w:tcW w:w="2607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1D4B18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Localizes trans genetic effects to responsive cells and co-regulated gene programs, including effects along continuous immune-cell transitions.</w:t>
            </w:r>
          </w:p>
        </w:tc>
        <w:tc>
          <w:tcPr>
            <w:tcW w:w="4078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3D69C82" w14:textId="6704FA3A" w:rsidR="00CF530D" w:rsidRDefault="006355B6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 w:rsidRPr="006355B6">
              <w:rPr>
                <w:b/>
                <w:bCs/>
              </w:rPr>
              <w:t>P</w:t>
            </w:r>
            <w:r w:rsidR="00000000" w:rsidRPr="006355B6">
              <w:rPr>
                <w:b/>
                <w:bCs/>
              </w:rPr>
              <w:t>rojects inherited-variant responses onto cells.</w:t>
            </w:r>
            <w:r w:rsidR="00000000">
              <w:t xml:space="preserve"> A common cis-effect profile used to define cell identity would extend its trans-effect localization; cell-specific genetic response itself is already present.</w:t>
            </w:r>
          </w:p>
        </w:tc>
      </w:tr>
      <w:tr w:rsidR="00797132" w:rsidRPr="002721D7" w14:paraId="5B9FDA2B" w14:textId="77777777" w:rsidTr="00506961">
        <w:trPr>
          <w:cantSplit/>
        </w:trPr>
        <w:tc>
          <w:tcPr>
            <w:tcW w:w="1789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E34DE0" w14:textId="77777777" w:rsidR="00CF530D" w:rsidRDefault="00CF530D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12">
              <w:r>
                <w:rPr>
                  <w:color w:val="3E8095"/>
                  <w:u w:val="single"/>
                </w:rPr>
                <w:t>scooby</w:t>
              </w:r>
            </w:hyperlink>
            <w:r w:rsidR="00000000">
              <w:br/>
            </w:r>
            <w:r w:rsidR="00000000">
              <w:rPr>
                <w:sz w:val="20"/>
                <w:szCs w:val="20"/>
              </w:rPr>
              <w:t>Hingerl et al.</w:t>
            </w:r>
            <w:r w:rsidR="00000000">
              <w:br/>
            </w:r>
            <w:r w:rsidR="00000000">
              <w:rPr>
                <w:sz w:val="20"/>
                <w:szCs w:val="20"/>
              </w:rPr>
              <w:t>(2025) [4]</w:t>
            </w:r>
          </w:p>
        </w:tc>
        <w:tc>
          <w:tcPr>
            <w:tcW w:w="2081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22F626A" w14:textId="77777777" w:rsidR="00CF530D" w:rsidRDefault="00000000">
            <w:pPr>
              <w:spacing w:after="0" w:line="240" w:lineRule="auto"/>
              <w:rPr>
                <w:rFonts w:ascii="Cambria Math" w:hAnsi="Cambria Math"/>
                <w:color w:val="000000" w:themeColor="text1"/>
              </w:rPr>
            </w:pPr>
            <w:r>
              <w:t>Cell-specific sensitivity to regulatory sequence variants</w:t>
            </w:r>
          </w:p>
        </w:tc>
        <w:tc>
          <w:tcPr>
            <w:tcW w:w="3215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DF66C1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Reference/alternative contrasts from a sequence model conditioned on a cell embedding:</w:t>
            </w:r>
          </w:p>
          <w:p w14:paraId="6B75E9AE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alt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 versus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07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92A3CF" w14:textId="39310EB3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Predicts where regulatory variants affect expression or accessibility across cell types and within a single-cell map.</w:t>
            </w:r>
          </w:p>
        </w:tc>
        <w:tc>
          <w:tcPr>
            <w:tcW w:w="4078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A30FC0" w14:textId="59F8CF2E" w:rsidR="00CF530D" w:rsidRDefault="006355B6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 w:rsidRPr="006355B6">
              <w:rPr>
                <w:b/>
                <w:bCs/>
              </w:rPr>
              <w:t>C</w:t>
            </w:r>
            <w:r w:rsidR="00000000" w:rsidRPr="006355B6">
              <w:rPr>
                <w:b/>
                <w:bCs/>
              </w:rPr>
              <w:t>ell-specific allele responses.</w:t>
            </w:r>
            <w:r w:rsidR="00000000">
              <w:t xml:space="preserve"> Its sequence contrasts differ from donor-estimated cis slopes, but this distinction in estimation does not remove the overlap with a broadly defined genetic-response profile.</w:t>
            </w:r>
          </w:p>
        </w:tc>
      </w:tr>
      <w:tr w:rsidR="00797132" w:rsidRPr="002721D7" w14:paraId="7532A9B1" w14:textId="77777777" w:rsidTr="00506961">
        <w:trPr>
          <w:cantSplit/>
        </w:trPr>
        <w:tc>
          <w:tcPr>
            <w:tcW w:w="1789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817DE9" w14:textId="77777777" w:rsidR="00CF530D" w:rsidRDefault="00CF530D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13">
              <w:r>
                <w:rPr>
                  <w:color w:val="3E8095"/>
                  <w:u w:val="single"/>
                </w:rPr>
                <w:t>MrVI</w:t>
              </w:r>
            </w:hyperlink>
            <w:r w:rsidR="00000000">
              <w:br/>
            </w:r>
            <w:r w:rsidR="00000000">
              <w:rPr>
                <w:sz w:val="20"/>
                <w:szCs w:val="20"/>
              </w:rPr>
              <w:t>Boyeau et al.</w:t>
            </w:r>
            <w:r w:rsidR="00000000">
              <w:br/>
            </w:r>
            <w:r w:rsidR="00000000">
              <w:rPr>
                <w:sz w:val="20"/>
                <w:szCs w:val="20"/>
              </w:rPr>
              <w:t>(2025) [5]</w:t>
            </w:r>
          </w:p>
        </w:tc>
        <w:tc>
          <w:tcPr>
            <w:tcW w:w="2081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C828C3" w14:textId="77777777" w:rsidR="00CF530D" w:rsidRDefault="00000000">
            <w:pPr>
              <w:spacing w:after="0" w:line="240" w:lineRule="auto"/>
              <w:rPr>
                <w:rFonts w:ascii="Cambria Math" w:hAnsi="Cambria Math"/>
                <w:color w:val="000000" w:themeColor="text1"/>
              </w:rPr>
            </w:pPr>
            <w:r>
              <w:t>Cells grouped by shared responses to sample backgrounds</w:t>
            </w:r>
          </w:p>
        </w:tc>
        <w:tc>
          <w:tcPr>
            <w:tcW w:w="3215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D0A7DD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For each cell, counterfactual states under different samples define a sample-distance matrix:</w:t>
            </w:r>
          </w:p>
          <w:p w14:paraId="1CC4C020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(a,b) = ‖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(a)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-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(b)</m:t>
                    </m:r>
                  </m:sup>
                </m:sSubSup>
                <m:r>
                  <w:rPr>
                    <w:rFonts w:ascii="Cambria Math" w:hAnsi="Cambria Math"/>
                  </w:rPr>
                  <m:t>‖</m:t>
                </m:r>
              </m:oMath>
            </m:oMathPara>
          </w:p>
        </w:tc>
        <w:tc>
          <w:tcPr>
            <w:tcW w:w="2607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0B423F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Groups cells that imply similar sample relationships, and finds coherent disease- or treatment-associated cellular responses.</w:t>
            </w:r>
          </w:p>
        </w:tc>
        <w:tc>
          <w:tcPr>
            <w:tcW w:w="4078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1F954B0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rPr>
                <w:b/>
              </w:rPr>
              <w:t>Strong precedent for response-defined grouping.</w:t>
            </w:r>
            <w:r>
              <w:t xml:space="preserve"> Already groups cells by how backgrounds affect them. Its sample-distance profile summarizes whole-sample differences rather than signed effects of specified inherited alleles.</w:t>
            </w:r>
          </w:p>
        </w:tc>
      </w:tr>
      <w:tr w:rsidR="00797132" w:rsidRPr="002721D7" w14:paraId="4DC12056" w14:textId="77777777" w:rsidTr="00506961">
        <w:trPr>
          <w:cantSplit/>
        </w:trPr>
        <w:tc>
          <w:tcPr>
            <w:tcW w:w="1789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A4EFA0" w14:textId="77777777" w:rsidR="00CF530D" w:rsidRDefault="00CF530D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14">
              <w:r>
                <w:rPr>
                  <w:color w:val="3E8095"/>
                  <w:u w:val="single"/>
                </w:rPr>
                <w:t>GEDI</w:t>
              </w:r>
            </w:hyperlink>
            <w:r w:rsidR="00000000">
              <w:br/>
            </w:r>
            <w:r w:rsidR="00000000">
              <w:rPr>
                <w:sz w:val="20"/>
                <w:szCs w:val="20"/>
              </w:rPr>
              <w:t>Madrigal et al.</w:t>
            </w:r>
            <w:r w:rsidR="00000000">
              <w:br/>
            </w:r>
            <w:r w:rsidR="00000000">
              <w:rPr>
                <w:sz w:val="20"/>
                <w:szCs w:val="20"/>
              </w:rPr>
              <w:t>(2024) [6]</w:t>
            </w:r>
          </w:p>
        </w:tc>
        <w:tc>
          <w:tcPr>
            <w:tcW w:w="2081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899E6C" w14:textId="77777777" w:rsidR="00CF530D" w:rsidRDefault="00000000">
            <w:pPr>
              <w:spacing w:after="0" w:line="240" w:lineRule="auto"/>
              <w:rPr>
                <w:rFonts w:ascii="Cambria Math" w:hAnsi="Cambria Math"/>
                <w:color w:val="000000" w:themeColor="text1"/>
              </w:rPr>
            </w:pPr>
            <w:r>
              <w:t>Covariate-specific transcriptomic vector fields</w:t>
            </w:r>
          </w:p>
        </w:tc>
        <w:tc>
          <w:tcPr>
            <w:tcW w:w="3215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8F7226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Sample covariates shift and deform a shared cell manifold. Their conditional-mean effect at cell state b is:</w:t>
            </w:r>
          </w:p>
          <w:p w14:paraId="0D1AD846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∑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607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E7BF4F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Maps the direction and magnitude of disease-associated expression shifts across cells and relates these shifts to regulatory programs.</w:t>
            </w:r>
          </w:p>
        </w:tc>
        <w:tc>
          <w:tcPr>
            <w:tcW w:w="4078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AA31749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rPr>
                <w:b/>
              </w:rPr>
              <w:t>Potential formal umbrella.</w:t>
            </w:r>
            <w:r>
              <w:t xml:space="preserve"> Setting h to allele dosage yields cell-dependent genetic slopes in the conditional mean. This is our specialization of its equations; its demonstrated vector fields concern other sample covariates.</w:t>
            </w:r>
          </w:p>
        </w:tc>
      </w:tr>
      <w:tr w:rsidR="00797132" w:rsidRPr="002721D7" w14:paraId="1A35601B" w14:textId="77777777" w:rsidTr="00506961">
        <w:trPr>
          <w:cantSplit/>
        </w:trPr>
        <w:tc>
          <w:tcPr>
            <w:tcW w:w="1789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0274C3" w14:textId="77777777" w:rsidR="00CF530D" w:rsidRDefault="00CF530D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hyperlink r:id="rId15">
              <w:r>
                <w:rPr>
                  <w:color w:val="3E8095"/>
                  <w:u w:val="single"/>
                </w:rPr>
                <w:t>LEMUR</w:t>
              </w:r>
            </w:hyperlink>
            <w:r w:rsidR="00000000">
              <w:br/>
            </w:r>
            <w:r w:rsidR="00000000">
              <w:rPr>
                <w:sz w:val="20"/>
                <w:szCs w:val="20"/>
              </w:rPr>
              <w:t>Ahlmann-Eltze and Huber</w:t>
            </w:r>
            <w:r w:rsidR="00000000">
              <w:br/>
            </w:r>
            <w:r w:rsidR="00000000">
              <w:rPr>
                <w:sz w:val="20"/>
                <w:szCs w:val="20"/>
              </w:rPr>
              <w:t>(2025) [7]</w:t>
            </w:r>
          </w:p>
        </w:tc>
        <w:tc>
          <w:tcPr>
            <w:tcW w:w="2081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A46176F" w14:textId="77777777" w:rsidR="00CF530D" w:rsidRDefault="00000000">
            <w:pPr>
              <w:spacing w:after="0" w:line="240" w:lineRule="auto"/>
              <w:rPr>
                <w:rFonts w:ascii="Cambria Math" w:hAnsi="Cambria Math"/>
                <w:color w:val="000000" w:themeColor="text1"/>
              </w:rPr>
            </w:pPr>
            <w:r>
              <w:t>Cell-specific contrasts and coherent response groups</w:t>
            </w:r>
          </w:p>
        </w:tc>
        <w:tc>
          <w:tcPr>
            <w:tcW w:w="3215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FDD8CF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A condition-dependent manifold gives a gene-by-cell contrast matrix:</w:t>
            </w:r>
          </w:p>
          <w:p w14:paraId="0E737516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07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E5F9871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t>Predicts expression changes for each cell and gene, then identifies connected neighborhoods with consistent differential expression.</w:t>
            </w:r>
          </w:p>
        </w:tc>
        <w:tc>
          <w:tcPr>
            <w:tcW w:w="4078" w:type="dxa"/>
            <w:tcBorders>
              <w:bottom w:val="single" w:sz="4" w:space="0" w:color="DCD3E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46823E2" w14:textId="77777777" w:rsidR="00CF530D" w:rsidRDefault="00000000">
            <w:pPr>
              <w:spacing w:after="0" w:line="240" w:lineRule="auto"/>
              <w:rPr>
                <w:rFonts w:ascii="Segoe UI" w:eastAsia="Times New Roman" w:hAnsi="Segoe UI" w:cs="Segoe UI"/>
                <w:spacing w:val="2"/>
                <w:kern w:val="0"/>
                <w:sz w:val="22"/>
                <w:szCs w:val="22"/>
                <w14:ligatures w14:val="none"/>
              </w:rPr>
            </w:pPr>
            <w:r>
              <w:rPr>
                <w:b/>
              </w:rPr>
              <w:t>Explicit response-first cell selection.</w:t>
            </w:r>
            <w:r>
              <w:t xml:space="preserve"> Already selects cells with coherent modeled responses. Its condition contrasts and gene-specific neighborhoods are distinct from a common cell profile over independent cis-allele effects.</w:t>
            </w:r>
          </w:p>
        </w:tc>
      </w:tr>
    </w:tbl>
    <w:p w14:paraId="431432DB" w14:textId="77777777" w:rsidR="00790237" w:rsidRDefault="00790237" w:rsidP="00797132">
      <w:pPr>
        <w:keepNext/>
        <w:pageBreakBefore/>
        <w:spacing w:after="100" w:line="240" w:lineRule="auto"/>
        <w:rPr>
          <w:b/>
        </w:rPr>
      </w:pPr>
    </w:p>
    <w:p w14:paraId="59246774" w14:textId="12E21EC1" w:rsidR="00797132" w:rsidRPr="002721D7" w:rsidRDefault="0073714A" w:rsidP="00797132">
      <w:pPr>
        <w:keepNext/>
        <w:pageBreakBefore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b/>
        </w:rPr>
        <w:t>References</w:t>
      </w:r>
    </w:p>
    <w:p w14:paraId="64A1C5B3" w14:textId="77777777" w:rsidR="00797132" w:rsidRPr="002721D7" w:rsidRDefault="0073714A" w:rsidP="00797132">
      <w:pPr>
        <w:keepLines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sz w:val="20"/>
          <w:szCs w:val="20"/>
        </w:rPr>
        <w:t xml:space="preserve">[1] Strober et al. (2024). </w:t>
      </w:r>
      <w:hyperlink r:id="rId16">
        <w:r>
          <w:rPr>
            <w:color w:val="3E8095"/>
            <w:sz w:val="20"/>
            <w:szCs w:val="20"/>
            <w:u w:val="single"/>
          </w:rPr>
          <w:t>SURGE: uncovering context-specific genetic-regulation of gene expression from single-cell RNA sequencing using latent-factor models.</w:t>
        </w:r>
      </w:hyperlink>
      <w:r>
        <w:rPr>
          <w:sz w:val="20"/>
          <w:szCs w:val="20"/>
        </w:rPr>
        <w:t xml:space="preserve"> Genome Biology 25, 28. Evidence: Table 2: Fig. 1; model definition and latent-context interpretation.</w:t>
      </w:r>
    </w:p>
    <w:p w14:paraId="2D2A47D5" w14:textId="77777777" w:rsidR="00797132" w:rsidRPr="002721D7" w:rsidRDefault="0073714A" w:rsidP="00797132">
      <w:pPr>
        <w:keepLines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sz w:val="20"/>
          <w:szCs w:val="20"/>
        </w:rPr>
        <w:t xml:space="preserve">[2] Cuomo et al. (2022). </w:t>
      </w:r>
      <w:hyperlink r:id="rId17">
        <w:r>
          <w:rPr>
            <w:color w:val="3E8095"/>
            <w:sz w:val="20"/>
            <w:szCs w:val="20"/>
            <w:u w:val="single"/>
          </w:rPr>
          <w:t>CellRegMap: a statistical framework for mapping context-specific regulatory variants using scRNA-seq.</w:t>
        </w:r>
      </w:hyperlink>
      <w:r>
        <w:rPr>
          <w:sz w:val="20"/>
          <w:szCs w:val="20"/>
        </w:rPr>
        <w:t xml:space="preserve"> Molecular Systems Biology 18, e10663. Evidence: Table 2: Fig. 1; Figs. 4–5 and EV4.</w:t>
      </w:r>
    </w:p>
    <w:p w14:paraId="4A128E1F" w14:textId="77777777" w:rsidR="00797132" w:rsidRPr="002721D7" w:rsidRDefault="0073714A" w:rsidP="00797132">
      <w:pPr>
        <w:keepLines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sz w:val="20"/>
          <w:szCs w:val="20"/>
        </w:rPr>
        <w:t xml:space="preserve">[3] Vagiaki et al. (2026 preprint). </w:t>
      </w:r>
      <w:hyperlink r:id="rId18">
        <w:r>
          <w:rPr>
            <w:color w:val="3E8095"/>
            <w:sz w:val="20"/>
            <w:szCs w:val="20"/>
            <w:u w:val="single"/>
          </w:rPr>
          <w:t>Mapping trans-eQTLs at single-cell resolution using Latent Interaction Variational Inference.</w:t>
        </w:r>
      </w:hyperlink>
      <w:r>
        <w:rPr>
          <w:sz w:val="20"/>
          <w:szCs w:val="20"/>
        </w:rPr>
        <w:t xml:space="preserve"> bioRxiv v1, posted 6 February 2026. Evidence: Table 1: Fig. 1 (NB-VAE and interaction); Methods, HTML paragraph p-64 (cell-state factors learned first, then fixed). Table 2: Figs. 3–4; Methods p-68 (single-cell effect projection).</w:t>
      </w:r>
    </w:p>
    <w:p w14:paraId="44E309A3" w14:textId="77777777" w:rsidR="00797132" w:rsidRPr="002721D7" w:rsidRDefault="0073714A" w:rsidP="00797132">
      <w:pPr>
        <w:keepLines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sz w:val="20"/>
          <w:szCs w:val="20"/>
        </w:rPr>
        <w:t xml:space="preserve">[4] Hingerl et al. (2025). </w:t>
      </w:r>
      <w:hyperlink r:id="rId19">
        <w:r>
          <w:rPr>
            <w:color w:val="3E8095"/>
            <w:sz w:val="20"/>
            <w:szCs w:val="20"/>
            <w:u w:val="single"/>
          </w:rPr>
          <w:t>scooby: modeling multimodal genomic profiles from DNA sequence at single-cell resolution.</w:t>
        </w:r>
      </w:hyperlink>
      <w:r>
        <w:rPr>
          <w:sz w:val="20"/>
          <w:szCs w:val="20"/>
        </w:rPr>
        <w:t xml:space="preserve"> Nature Methods 22, 2275–2285. Evidence: Table 1: Fig. 1 (DNA sequence and cell embedding to RNA/ATAC); Figs. 4–5 (alternative/reference allele prediction). Table 2: Fig. 5a,e (cell-specific variant-effect maps).</w:t>
      </w:r>
    </w:p>
    <w:p w14:paraId="54F58BE7" w14:textId="77777777" w:rsidR="00797132" w:rsidRPr="002721D7" w:rsidRDefault="0073714A" w:rsidP="00797132">
      <w:pPr>
        <w:keepLines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sz w:val="20"/>
          <w:szCs w:val="20"/>
        </w:rPr>
        <w:t xml:space="preserve">[5] Boyeau et al. (2025). </w:t>
      </w:r>
      <w:hyperlink r:id="rId20">
        <w:r>
          <w:rPr>
            <w:color w:val="3E8095"/>
            <w:sz w:val="20"/>
            <w:szCs w:val="20"/>
            <w:u w:val="single"/>
          </w:rPr>
          <w:t>Deep generative modeling of sample-level heterogeneity in single-cell genomics.</w:t>
        </w:r>
      </w:hyperlink>
      <w:r>
        <w:rPr>
          <w:sz w:val="20"/>
          <w:szCs w:val="20"/>
        </w:rPr>
        <w:t xml:space="preserve"> Nature Methods 22, 2264–2274. Evidence: Tables 1–2: Fig. 1 (sample-unaware to sample-aware latent state); Methods on the generative model and local sample distances; Discussion on counterfactual sample representations.</w:t>
      </w:r>
    </w:p>
    <w:p w14:paraId="6B050704" w14:textId="77777777" w:rsidR="00797132" w:rsidRPr="002721D7" w:rsidRDefault="0073714A" w:rsidP="00797132">
      <w:pPr>
        <w:keepLines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sz w:val="20"/>
          <w:szCs w:val="20"/>
        </w:rPr>
        <w:t xml:space="preserve">[6] Madrigal et al. (2024). </w:t>
      </w:r>
      <w:hyperlink r:id="rId21">
        <w:r>
          <w:rPr>
            <w:color w:val="3E8095"/>
            <w:sz w:val="20"/>
            <w:szCs w:val="20"/>
            <w:u w:val="single"/>
          </w:rPr>
          <w:t>A unified model for interpretable latent embedding of multi-sample, multi-condition single-cell data.</w:t>
        </w:r>
      </w:hyperlink>
      <w:r>
        <w:rPr>
          <w:sz w:val="20"/>
          <w:szCs w:val="20"/>
        </w:rPr>
        <w:t xml:space="preserve"> Nature Communications 15, 6573. Evidence: Table 2: Fig. 3; Methods Eqs. 11 and 17–20.</w:t>
      </w:r>
    </w:p>
    <w:p w14:paraId="7486CA0A" w14:textId="6E66B401" w:rsidR="00797132" w:rsidRPr="002721D7" w:rsidRDefault="0073714A" w:rsidP="00866FF4">
      <w:pPr>
        <w:keepLines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sz w:val="20"/>
          <w:szCs w:val="20"/>
        </w:rPr>
        <w:t xml:space="preserve">[7] Ahlmann-Eltze and Huber (2025). </w:t>
      </w:r>
      <w:hyperlink r:id="rId22">
        <w:r>
          <w:rPr>
            <w:color w:val="3E8095"/>
            <w:sz w:val="20"/>
            <w:szCs w:val="20"/>
            <w:u w:val="single"/>
          </w:rPr>
          <w:t>Analysis of multi-condition single-cell data with latent embedding multivariate regression.</w:t>
        </w:r>
      </w:hyperlink>
      <w:r>
        <w:rPr>
          <w:sz w:val="20"/>
          <w:szCs w:val="20"/>
        </w:rPr>
        <w:t xml:space="preserve"> Nature Genetics 57, 659–667. Evidence: Tables 1–2: Fig. 1b–c (condition-dependent latent regression, cell-level contrasts and response neighborhoods); Fig. 2b (per-cell predictions); Methods Eq. 7 (LEMUR model).</w:t>
      </w:r>
    </w:p>
    <w:p w14:paraId="7201E581" w14:textId="70D3B92F" w:rsidR="00BF29A2" w:rsidRDefault="00000000">
      <w:pPr>
        <w:keepLines/>
        <w:spacing w:after="100" w:line="240" w:lineRule="auto"/>
        <w:rPr>
          <w:rFonts w:ascii="Segoe UI" w:eastAsia="Times New Roman" w:hAnsi="Segoe UI" w:cs="Segoe UI"/>
          <w:spacing w:val="2"/>
          <w:kern w:val="0"/>
          <w:sz w:val="22"/>
          <w:szCs w:val="22"/>
          <w14:ligatures w14:val="none"/>
        </w:rPr>
      </w:pPr>
      <w:r>
        <w:rPr>
          <w:sz w:val="20"/>
          <w:szCs w:val="20"/>
        </w:rPr>
        <w:t>[</w:t>
      </w:r>
      <w:r w:rsidR="00866FF4">
        <w:rPr>
          <w:sz w:val="20"/>
          <w:szCs w:val="20"/>
        </w:rPr>
        <w:t>8</w:t>
      </w:r>
      <w:r>
        <w:rPr>
          <w:sz w:val="20"/>
          <w:szCs w:val="20"/>
        </w:rPr>
        <w:t xml:space="preserve">] Kumasaka et al. (2023). </w:t>
      </w:r>
      <w:hyperlink r:id="rId23">
        <w:r>
          <w:rPr>
            <w:color w:val="3E8095"/>
            <w:sz w:val="20"/>
            <w:szCs w:val="20"/>
            <w:u w:val="single"/>
          </w:rPr>
          <w:t>Mapping interindividual dynamics of innate immune response at single-cell resolution.</w:t>
        </w:r>
      </w:hyperlink>
      <w:r>
        <w:rPr>
          <w:sz w:val="20"/>
          <w:szCs w:val="20"/>
        </w:rPr>
        <w:t xml:space="preserve"> Nature Genetics 55, 1066–1075. Evidence: Table 1: Fig. 1b (GPLVM states followed by GP genetic-association regression); Methods on genetic association mapping (state-dependent effect function).</w:t>
      </w:r>
    </w:p>
    <w:sectPr w:rsidR="00BF29A2" w:rsidSect="002721D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3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4A"/>
    <w:rsid w:val="0000489C"/>
    <w:rsid w:val="000061BC"/>
    <w:rsid w:val="00046F62"/>
    <w:rsid w:val="00082437"/>
    <w:rsid w:val="000A71CB"/>
    <w:rsid w:val="000D12F2"/>
    <w:rsid w:val="00103AE2"/>
    <w:rsid w:val="00103E28"/>
    <w:rsid w:val="00110D76"/>
    <w:rsid w:val="00117D09"/>
    <w:rsid w:val="00150144"/>
    <w:rsid w:val="00160166"/>
    <w:rsid w:val="00163AD5"/>
    <w:rsid w:val="001772C3"/>
    <w:rsid w:val="001D48CD"/>
    <w:rsid w:val="001D7FA3"/>
    <w:rsid w:val="00204837"/>
    <w:rsid w:val="00216E94"/>
    <w:rsid w:val="00227E5F"/>
    <w:rsid w:val="002648A7"/>
    <w:rsid w:val="00267FEC"/>
    <w:rsid w:val="002721D7"/>
    <w:rsid w:val="002872D9"/>
    <w:rsid w:val="002B568B"/>
    <w:rsid w:val="002D1B8F"/>
    <w:rsid w:val="002E3FA5"/>
    <w:rsid w:val="00305E1A"/>
    <w:rsid w:val="00370A64"/>
    <w:rsid w:val="003726E9"/>
    <w:rsid w:val="00382C8D"/>
    <w:rsid w:val="00384922"/>
    <w:rsid w:val="003A438B"/>
    <w:rsid w:val="003E3E02"/>
    <w:rsid w:val="00411353"/>
    <w:rsid w:val="0041620A"/>
    <w:rsid w:val="0046631C"/>
    <w:rsid w:val="00487E97"/>
    <w:rsid w:val="004D18CE"/>
    <w:rsid w:val="00506365"/>
    <w:rsid w:val="00506961"/>
    <w:rsid w:val="0051618C"/>
    <w:rsid w:val="005459D6"/>
    <w:rsid w:val="005D2E7B"/>
    <w:rsid w:val="005F52A5"/>
    <w:rsid w:val="00613965"/>
    <w:rsid w:val="00622F5D"/>
    <w:rsid w:val="006355B6"/>
    <w:rsid w:val="00694494"/>
    <w:rsid w:val="006B7BFD"/>
    <w:rsid w:val="00717D56"/>
    <w:rsid w:val="00724009"/>
    <w:rsid w:val="0073084A"/>
    <w:rsid w:val="0073714A"/>
    <w:rsid w:val="00790237"/>
    <w:rsid w:val="00791810"/>
    <w:rsid w:val="00797132"/>
    <w:rsid w:val="00797C48"/>
    <w:rsid w:val="007D5B68"/>
    <w:rsid w:val="007E34F6"/>
    <w:rsid w:val="007F788A"/>
    <w:rsid w:val="00820E78"/>
    <w:rsid w:val="00832DA4"/>
    <w:rsid w:val="008409FA"/>
    <w:rsid w:val="00866FF4"/>
    <w:rsid w:val="0089430E"/>
    <w:rsid w:val="00895D38"/>
    <w:rsid w:val="008B6809"/>
    <w:rsid w:val="0090776C"/>
    <w:rsid w:val="009167F4"/>
    <w:rsid w:val="00962407"/>
    <w:rsid w:val="00983DE6"/>
    <w:rsid w:val="0098576C"/>
    <w:rsid w:val="009B13DE"/>
    <w:rsid w:val="009B45B7"/>
    <w:rsid w:val="009F7AE6"/>
    <w:rsid w:val="00A21452"/>
    <w:rsid w:val="00AA4547"/>
    <w:rsid w:val="00AD6F47"/>
    <w:rsid w:val="00B414DB"/>
    <w:rsid w:val="00B86103"/>
    <w:rsid w:val="00B9298A"/>
    <w:rsid w:val="00B92AC0"/>
    <w:rsid w:val="00BB444B"/>
    <w:rsid w:val="00BF10DC"/>
    <w:rsid w:val="00BF29A2"/>
    <w:rsid w:val="00C347F9"/>
    <w:rsid w:val="00C466AF"/>
    <w:rsid w:val="00C8394D"/>
    <w:rsid w:val="00CF530D"/>
    <w:rsid w:val="00D60025"/>
    <w:rsid w:val="00D61420"/>
    <w:rsid w:val="00DA7869"/>
    <w:rsid w:val="00DF2D84"/>
    <w:rsid w:val="00E34766"/>
    <w:rsid w:val="00E4189B"/>
    <w:rsid w:val="00E95234"/>
    <w:rsid w:val="00ED46EB"/>
    <w:rsid w:val="00F26143"/>
    <w:rsid w:val="00F401A1"/>
    <w:rsid w:val="00F576DA"/>
    <w:rsid w:val="00F86CD5"/>
    <w:rsid w:val="00FB44E8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A6B61"/>
  <w15:chartTrackingRefBased/>
  <w15:docId w15:val="{1AFFCF6E-D983-994E-833D-D0DD64C3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21D7"/>
    <w:rPr>
      <w:b/>
      <w:bCs/>
    </w:rPr>
  </w:style>
  <w:style w:type="character" w:styleId="Hyperlink">
    <w:name w:val="Hyperlink"/>
    <w:basedOn w:val="DefaultParagraphFont"/>
    <w:uiPriority w:val="99"/>
    <w:unhideWhenUsed/>
    <w:rsid w:val="007918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81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8576C"/>
    <w:rPr>
      <w:color w:val="666666"/>
    </w:rPr>
  </w:style>
  <w:style w:type="character" w:customStyle="1" w:styleId="mrel">
    <w:name w:val="mrel"/>
    <w:basedOn w:val="DefaultParagraphFont"/>
    <w:rsid w:val="009F7AE6"/>
  </w:style>
  <w:style w:type="character" w:customStyle="1" w:styleId="mord">
    <w:name w:val="mord"/>
    <w:basedOn w:val="DefaultParagraphFont"/>
    <w:rsid w:val="009F7AE6"/>
  </w:style>
  <w:style w:type="character" w:styleId="FollowedHyperlink">
    <w:name w:val="FollowedHyperlink"/>
    <w:basedOn w:val="DefaultParagraphFont"/>
    <w:uiPriority w:val="99"/>
    <w:semiHidden/>
    <w:unhideWhenUsed/>
    <w:rsid w:val="00E4189B"/>
    <w:rPr>
      <w:color w:val="96607D" w:themeColor="followedHyperlink"/>
      <w:u w:val="single"/>
    </w:rPr>
  </w:style>
  <w:style w:type="character" w:customStyle="1" w:styleId="mbin">
    <w:name w:val="mbin"/>
    <w:basedOn w:val="DefaultParagraphFont"/>
    <w:rsid w:val="00635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2-025-02808-x?utm_source=chatgpt.com" TargetMode="External"/><Relationship Id="rId13" Type="http://schemas.openxmlformats.org/officeDocument/2006/relationships/hyperlink" Target="https://doi.org/10.1038/s41592-025-02808-x" TargetMode="External"/><Relationship Id="rId18" Type="http://schemas.openxmlformats.org/officeDocument/2006/relationships/hyperlink" Target="https://www.biorxiv.org/content/10.64898/2026.02.04.703363v1.ful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38/s41467-024-50963-0" TargetMode="External"/><Relationship Id="rId7" Type="http://schemas.openxmlformats.org/officeDocument/2006/relationships/hyperlink" Target="https://www.nature.com/articles/s41588-024-01996-0?utm_source=chatgpt.com" TargetMode="External"/><Relationship Id="rId12" Type="http://schemas.openxmlformats.org/officeDocument/2006/relationships/hyperlink" Target="https://doi.org/10.1038/s41592-025-02854-5" TargetMode="External"/><Relationship Id="rId17" Type="http://schemas.openxmlformats.org/officeDocument/2006/relationships/hyperlink" Target="https://doi.org/10.15252/msb.202110663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oi.org/10.1186/s13059-023-03152-z" TargetMode="External"/><Relationship Id="rId20" Type="http://schemas.openxmlformats.org/officeDocument/2006/relationships/hyperlink" Target="https://doi.org/10.1038/s41592-025-02808-x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s41592-025-02854-5" TargetMode="External"/><Relationship Id="rId11" Type="http://schemas.openxmlformats.org/officeDocument/2006/relationships/hyperlink" Target="https://www.biorxiv.org/content/10.64898/2026.02.04.703363v1.ful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nature.com/articles/s41588-023-01421-y" TargetMode="External"/><Relationship Id="rId15" Type="http://schemas.openxmlformats.org/officeDocument/2006/relationships/hyperlink" Target="https://doi.org/10.1038/s41588-024-01996-0" TargetMode="External"/><Relationship Id="rId23" Type="http://schemas.openxmlformats.org/officeDocument/2006/relationships/hyperlink" Target="https://doi.org/10.1038/s41588-023-01421-y" TargetMode="External"/><Relationship Id="rId10" Type="http://schemas.openxmlformats.org/officeDocument/2006/relationships/hyperlink" Target="https://doi.org/10.15252/msb.202110663" TargetMode="External"/><Relationship Id="rId19" Type="http://schemas.openxmlformats.org/officeDocument/2006/relationships/hyperlink" Target="https://doi.org/10.1038/s41592-025-02854-5" TargetMode="External"/><Relationship Id="rId4" Type="http://schemas.openxmlformats.org/officeDocument/2006/relationships/hyperlink" Target="https://www.biorxiv.org/content/10.64898/2026.02.04.703363v1" TargetMode="External"/><Relationship Id="rId9" Type="http://schemas.openxmlformats.org/officeDocument/2006/relationships/hyperlink" Target="https://doi.org/10.1186/s13059-023-03152-z" TargetMode="External"/><Relationship Id="rId14" Type="http://schemas.openxmlformats.org/officeDocument/2006/relationships/hyperlink" Target="https://doi.org/10.1038/s41467-024-50963-0" TargetMode="External"/><Relationship Id="rId22" Type="http://schemas.openxmlformats.org/officeDocument/2006/relationships/hyperlink" Target="https://doi.org/10.1038/s41588-024-01996-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izhuosong/Desktop/Regulotype%20Methods%20Chec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Regulotype Methods Check.dotx</Template>
  <TotalTime>35</TotalTime>
  <Pages>1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Yizhuo Song</dc:creator>
  <cp:keywords/>
  <dc:description/>
  <cp:lastModifiedBy>Song, Yizhuo</cp:lastModifiedBy>
  <cp:revision>6</cp:revision>
  <dcterms:created xsi:type="dcterms:W3CDTF">2026-09-10T21:59:00Z</dcterms:created>
  <dcterms:modified xsi:type="dcterms:W3CDTF">2026-09-11T15:17:00Z</dcterms:modified>
</cp:coreProperties>
</file>