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SC-307</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“SERVICIO CONTROL LABORAL, CONTROL ACCESO Y AUDITORIAS DE CIERRE”</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11 de Enero de 2018</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Walter Droppelmann</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None</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KUNZA CONSULTORES S.A.</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Hugo Rojas Aguilera</w:t>
      </w:r>
      <w:r w:rsidR="00484F16" w:rsidRPr="00FA2BA9">
        <w:rPr>
          <w:rFonts w:cs="Arial"/>
          <w:position w:val="-3"/>
        </w:rPr>
        <w:t xml:space="preserve">, Cédula de Identidad N° </w:t>
      </w:r>
      <w:r w:rsidR="000D3C79" w:rsidRPr="00C73327">
        <w:rPr>
          <w:rFonts w:cs="Arial"/>
          <w:b/>
          <w:position w:val="-3"/>
          <w:highlight w:val="green"/>
        </w:rPr>
        <w:t>Hugo Rojas Aguilera</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AVELINO CONTARDO 932</w:t>
      </w:r>
      <w:r w:rsidR="00484F16" w:rsidRPr="00FA2BA9">
        <w:rPr>
          <w:rFonts w:cs="Arial"/>
          <w:position w:val="-3"/>
        </w:rPr>
        <w:t xml:space="preserve">, Ciudad de </w:t>
      </w:r>
      <w:r w:rsidR="000D3C79" w:rsidRPr="00C73327">
        <w:rPr>
          <w:rFonts w:cs="Arial"/>
          <w:position w:val="-3"/>
          <w:highlight w:val="green"/>
        </w:rPr>
        <w:t>ANTOFAGASTA</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SC-307</w:t>
      </w:r>
      <w:r w:rsidR="00A46F56" w:rsidRPr="00C73327">
        <w:rPr>
          <w:rFonts w:cs="Arial"/>
          <w:b/>
          <w:position w:val="-3"/>
          <w:highlight w:val="green"/>
        </w:rPr>
        <w:t xml:space="preserve"> “</w:t>
      </w:r>
      <w:r w:rsidR="000D3C79" w:rsidRPr="00C73327">
        <w:rPr>
          <w:rFonts w:cs="Arial"/>
          <w:b/>
          <w:position w:val="-3"/>
          <w:highlight w:val="green"/>
        </w:rPr>
        <w:t>SERVICIO CONTROL LABORAL, CONTROL ACCESO Y AUDITORIAS DE CIERRE</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15 de Febrero de 2017</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SC-307 “SERVICIO CONTROL LABORAL, CONTROL ACCESO Y AUDITORIAS DE CIERRE</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1204.00 (Mil Doscientos Cuatro Unidades De Fomentos</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1553.00 (Mil Quinientos Cincuenta Y Tres</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2757.00 (Dos Mil Setecientos Cincuenta Y Siete</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SC-307 “SERVICIO CONTROL LABORAL, CONTROL ACCESO Y AUDITORIAS DE CIERRE”</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UF2757.00 (Dos Mil Setecientos Cincuenta Y Siete</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UF2757.00 (Dos Mil Setecientos Cincuenta Y Siete</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Walter Droppelmann</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Hugo Rojas Aguilera</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KUNZA CONSULTORES S.A.</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Walter Droppelmann</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SC-307</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 Type="http://schemas.openxmlformats.org/officeDocument/2006/relationships/customXml" Target="../customXml/item1.xml"/><Relationship Id="rId10" Type="http://schemas.openxmlformats.org/officeDocument/2006/relationships/theme" Target="theme/theme1.xml"/><Relationship Id="rId6" Type="http://schemas.openxmlformats.org/officeDocument/2006/relationships/footnotes" Target="footnotes.xml"/><Relationship Id="rId2" Type="http://schemas.openxmlformats.org/officeDocument/2006/relationships/numbering" Target="numbering.xml"/><Relationship Id="rId5" Type="http://schemas.openxmlformats.org/officeDocument/2006/relationships/webSettings" Target="webSettings.xml"/><Relationship Id="rId9" Type="http://schemas.openxmlformats.org/officeDocument/2006/relationships/fontTable" Target="fontTable.xml"/><Relationship Id="rId4" Type="http://schemas.openxmlformats.org/officeDocument/2006/relationships/settings" Target="settings.xml"/><Relationship Id="rId3" Type="http://schemas.openxmlformats.org/officeDocument/2006/relationships/styles" Target="styles.xml"/><Relationship Id="rId7"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