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i w:val="0"/>
          <w:color w:val="2E74B5"/>
          <w:sz w:val="28"/>
        </w:rPr>
        <w:t>Cost-Efficient and Trustworthy Industrial AI for Partial Discharge Monitoring: Time-Frequency Encoding with Coverage-Aware Sampling and Hierarchical Weak Supervision</w:t>
      </w:r>
    </w:p>
    <w:p>
      <w:pPr>
        <w:spacing w:before="0" w:after="40"/>
      </w:pPr>
      <w:r>
        <w:rPr>
          <w:rFonts w:ascii="Calibri" w:hAnsi="Calibri"/>
          <w:b/>
          <w:i w:val="0"/>
          <w:color w:val="555555"/>
          <w:sz w:val="18"/>
        </w:rPr>
        <w:t>TII 版论文 v3（2026-08-25）</w:t>
      </w:r>
    </w:p>
    <w:p>
      <w:pPr>
        <w:spacing w:before="0" w:after="40"/>
      </w:pPr>
      <w:r>
        <w:rPr>
          <w:rFonts w:ascii="Calibri" w:hAnsi="Calibri"/>
          <w:b/>
          <w:i w:val="0"/>
          <w:color w:val="555555"/>
          <w:sz w:val="18"/>
        </w:rPr>
        <w:t>作者：杨上（第一作者，山东大学 2024 级本科生）；张斌（通讯作者，山东大学教授）</w:t>
      </w:r>
    </w:p>
    <w:p>
      <w:pPr>
        <w:spacing w:before="0" w:after="40"/>
      </w:pPr>
      <w:r>
        <w:rPr>
          <w:rFonts w:ascii="Calibri" w:hAnsi="Calibri"/>
          <w:b w:val="0"/>
          <w:i w:val="0"/>
          <w:color w:val="555555"/>
          <w:sz w:val="18"/>
        </w:rPr>
        <w:t>目标期刊：IEEE Transactions on Industrial Informatics (TII, IF≈11, 中科院1区Top)</w:t>
      </w:r>
    </w:p>
    <w:p>
      <w:pPr>
        <w:spacing w:before="0" w:after="40"/>
      </w:pPr>
      <w:r>
        <w:rPr>
          <w:rFonts w:ascii="Calibri" w:hAnsi="Calibri"/>
          <w:b w:val="0"/>
          <w:i w:val="0"/>
          <w:color w:val="555555"/>
          <w:sz w:val="18"/>
        </w:rPr>
        <w:t>状态：独立投稿（不投 TIM）——论文完全自包含</w:t>
      </w:r>
    </w:p>
    <w:p>
      <w:pPr>
        <w:spacing w:before="0" w:after="40"/>
      </w:pPr>
      <w:r>
        <w:rPr>
          <w:rFonts w:ascii="Calibri" w:hAnsi="Calibri"/>
          <w:b w:val="0"/>
          <w:i w:val="0"/>
          <w:color w:val="555555"/>
          <w:sz w:val="18"/>
        </w:rPr>
        <w:t>单位：山东大学（Shandong University）</w:t>
      </w:r>
    </w:p>
    <w:p>
      <w:pPr>
        <w:keepNext/>
        <w:spacing w:before="200" w:after="120"/>
      </w:pPr>
      <w:r>
        <w:rPr>
          <w:rFonts w:ascii="Calibri" w:hAnsi="Calibri"/>
          <w:b/>
          <w:i w:val="0"/>
          <w:color w:val="2E74B5"/>
          <w:sz w:val="24"/>
        </w:rPr>
        <w:t>Abstract</w:t>
      </w:r>
    </w:p>
    <w:p>
      <w:pPr>
        <w:spacing w:before="0" w:after="120"/>
      </w:pPr>
      <w:r>
        <w:rPr>
          <w:rFonts w:ascii="Calibri" w:hAnsi="Calibri"/>
          <w:b w:val="0"/>
          <w:i w:val="0"/>
          <w:sz w:val="21"/>
        </w:rPr>
        <w:t xml:space="preserve">Industrial condition monitoring of power distribution networks generates extremely long, sparse, and weakly labeled three-phase partial discharge (PD) signals, where sensing cost, labeling cost, and evaluation credibility jointly determine deployability. This paper presents a cost-efficient and trustworthy industrial AI framework that optimizes all three axes. </w:t>
      </w:r>
      <w:r>
        <w:rPr>
          <w:rFonts w:ascii="Calibri" w:hAnsi="Calibri"/>
          <w:b/>
          <w:i w:val="0"/>
          <w:sz w:val="21"/>
        </w:rPr>
        <w:t>First</w:t>
      </w:r>
      <w:r>
        <w:rPr>
          <w:rFonts w:ascii="Calibri" w:hAnsi="Calibri"/>
          <w:b w:val="0"/>
          <w:i w:val="0"/>
          <w:sz w:val="21"/>
        </w:rPr>
        <w:t xml:space="preserve">, a coverage-aware sampling plan extracts only 8.2% of the raw data (K=8 windows per 800,000-point phase signal at 40 MHz) via a robust event score, and a sampling-rate study shows that the sensing rate can be reduced 8-fold (40→5 MHz) while retaining 83% of detection performance—directly lowering ADC and storage hardware cost. </w:t>
      </w:r>
      <w:r>
        <w:rPr>
          <w:rFonts w:ascii="Calibri" w:hAnsi="Calibri"/>
          <w:b/>
          <w:i w:val="0"/>
          <w:sz w:val="21"/>
        </w:rPr>
        <w:t>Second</w:t>
      </w:r>
      <w:r>
        <w:rPr>
          <w:rFonts w:ascii="Calibri" w:hAnsi="Calibri"/>
          <w:b w:val="0"/>
          <w:i w:val="0"/>
          <w:sz w:val="21"/>
        </w:rPr>
        <w:t xml:space="preserve">, a time-frequency window encoder (STFT + 2D CNN, 167K parameters) replaces the plain-CNN backbone, raising phase-level PR-AUC from 0.615 to 0.703 (±0.025) on the VSB dataset under the same weakly supervised pipeline (attention MIL + context-concat three-phase interaction + noisy-OR), while a lightweight patch Transformer (235K parameters) is shown to require larger data scales to excel (0.998 PR-AUC from-scratch on the 46K-sample external motor-PD dataset vs 0.588 on the 7.4K-sample VSB set)—an empirical data-scale hypothesis for encoder choice. </w:t>
      </w:r>
      <w:r>
        <w:rPr>
          <w:rFonts w:ascii="Calibri" w:hAnsi="Calibri"/>
          <w:b/>
          <w:i w:val="0"/>
          <w:sz w:val="21"/>
        </w:rPr>
        <w:t>Third</w:t>
      </w:r>
      <w:r>
        <w:rPr>
          <w:rFonts w:ascii="Calibri" w:hAnsi="Calibri"/>
          <w:b w:val="0"/>
          <w:i w:val="0"/>
          <w:sz w:val="21"/>
        </w:rPr>
        <w:t xml:space="preserve">, the weakly supervised design retains 88% of full-supervision performance with only 50% of phase labels (0.542 vs 0.615), and a self-supervised (VICReg) pretraining study reports an honest negative result (no gain at low label ratios), refining when self-supervision helps. </w:t>
      </w:r>
      <w:r>
        <w:rPr>
          <w:rFonts w:ascii="Calibri" w:hAnsi="Calibri"/>
          <w:b/>
          <w:i w:val="0"/>
          <w:sz w:val="21"/>
        </w:rPr>
        <w:t>Fourth</w:t>
      </w:r>
      <w:r>
        <w:rPr>
          <w:rFonts w:ascii="Calibri" w:hAnsi="Calibri"/>
          <w:b w:val="0"/>
          <w:i w:val="0"/>
          <w:sz w:val="21"/>
        </w:rPr>
        <w:t>, a leakage-safe evaluation protocol—hash-verified split locks, one-time blind tests, and prevalence-normalized analytics—ensures trustworthy industrial conclusions; external multi-dataset validation (motor PD vs noise, 45,970 samples; cross-device oscilloscope captures) confirms transferability (from-scratch ROC-AUC 0.99+). The framework targets edge-deployable, cost-aware, and credible PD monitoring for distribution networks.</w:t>
      </w:r>
    </w:p>
    <w:p>
      <w:pPr>
        <w:spacing w:before="0" w:after="120"/>
      </w:pPr>
      <w:r>
        <w:rPr>
          <w:rFonts w:ascii="Calibri" w:hAnsi="Calibri"/>
          <w:b/>
          <w:i w:val="0"/>
          <w:sz w:val="21"/>
        </w:rPr>
        <w:t>Index Terms</w:t>
      </w:r>
      <w:r>
        <w:rPr>
          <w:rFonts w:ascii="Calibri" w:hAnsi="Calibri"/>
          <w:b w:val="0"/>
          <w:i w:val="0"/>
          <w:sz w:val="21"/>
        </w:rPr>
        <w:t>—Industrial artificial intelligence; partial discharge monitoring; coverage-aware sampling; time-frequency encoding; weakly supervised learning; sampling-rate optimization; trustworthy AI.</w:t>
      </w:r>
    </w:p>
    <w:p>
      <w:pPr>
        <w:keepNext/>
        <w:spacing w:before="200" w:after="120"/>
      </w:pPr>
      <w:r>
        <w:rPr>
          <w:rFonts w:ascii="Calibri" w:hAnsi="Calibri"/>
          <w:b/>
          <w:i w:val="0"/>
          <w:color w:val="2E74B5"/>
          <w:sz w:val="24"/>
        </w:rPr>
        <w:t>I. Introduction</w:t>
      </w:r>
    </w:p>
    <w:p>
      <w:pPr>
        <w:keepNext/>
        <w:spacing w:before="200" w:after="120"/>
      </w:pPr>
      <w:r>
        <w:rPr>
          <w:rFonts w:ascii="Calibri" w:hAnsi="Calibri"/>
          <w:b/>
          <w:i w:val="0"/>
          <w:color w:val="1F4D78"/>
          <w:sz w:val="22"/>
        </w:rPr>
        <w:t>A. Industrial Context</w:t>
      </w:r>
    </w:p>
    <w:p>
      <w:pPr>
        <w:spacing w:before="0" w:after="120"/>
      </w:pPr>
      <w:r>
        <w:rPr>
          <w:rFonts w:ascii="Calibri" w:hAnsi="Calibri"/>
          <w:b w:val="0"/>
          <w:i w:val="0"/>
          <w:sz w:val="21"/>
        </w:rPr>
        <w:t xml:space="preserve">Partial discharge (PD) is the earliest indicator of insulation degradation in power equipment [1], [2]. Online PD monitoring for distribution networks records raw high-rate waveforms (40 MHz, 800,000 samples per phase per measurement) and must decide, per phase and per measurement, whether discharge is present [3], [4]. Deploying machine learning for this task at industrial scale faces a </w:t>
      </w:r>
      <w:r>
        <w:rPr>
          <w:rFonts w:ascii="Calibri" w:hAnsi="Calibri"/>
          <w:b/>
          <w:i w:val="0"/>
          <w:sz w:val="21"/>
        </w:rPr>
        <w:t>triple-cost problem</w:t>
      </w:r>
      <w:r>
        <w:rPr>
          <w:rFonts w:ascii="Calibri" w:hAnsi="Calibri"/>
          <w:b w:val="0"/>
          <w:i w:val="0"/>
          <w:sz w:val="21"/>
        </w:rPr>
        <w:t>:</w:t>
      </w:r>
    </w:p>
    <w:p>
      <w:pPr>
        <w:spacing w:before="0" w:after="60"/>
        <w:ind w:left="360"/>
      </w:pPr>
      <w:r>
        <w:rPr>
          <w:rFonts w:ascii="Calibri" w:hAnsi="Calibri"/>
          <w:b/>
          <w:i w:val="0"/>
          <w:sz w:val="21"/>
        </w:rPr>
        <w:t>Sensing cost</w:t>
      </w:r>
      <w:r>
        <w:rPr>
          <w:rFonts w:ascii="Calibri" w:hAnsi="Calibri"/>
          <w:b w:val="0"/>
          <w:i w:val="0"/>
          <w:sz w:val="21"/>
        </w:rPr>
        <w:t>: 40 MHz digitization of long records dominates ADC, storage, and transmission budgets; whether a lower sampling rate suffices is an open hardware design question.</w:t>
      </w:r>
    </w:p>
    <w:p>
      <w:pPr>
        <w:spacing w:before="0" w:after="60"/>
        <w:ind w:left="360"/>
      </w:pPr>
      <w:r>
        <w:rPr>
          <w:rFonts w:ascii="Calibri" w:hAnsi="Calibri"/>
          <w:b/>
          <w:i w:val="0"/>
          <w:sz w:val="21"/>
        </w:rPr>
        <w:t>Labeling cost</w:t>
      </w:r>
      <w:r>
        <w:rPr>
          <w:rFonts w:ascii="Calibri" w:hAnsi="Calibri"/>
          <w:b w:val="0"/>
          <w:i w:val="0"/>
          <w:sz w:val="21"/>
        </w:rPr>
        <w:t>: window-level annotation of 800,000-point signals is prohibitively expensive; only phase-level labels exist (≈5.9% positive phases), requiring weakly supervised learning.</w:t>
      </w:r>
    </w:p>
    <w:p>
      <w:pPr>
        <w:spacing w:before="0" w:after="60"/>
        <w:ind w:left="360"/>
      </w:pPr>
      <w:r>
        <w:rPr>
          <w:rFonts w:ascii="Calibri" w:hAnsi="Calibri"/>
          <w:b/>
          <w:i w:val="0"/>
          <w:sz w:val="21"/>
        </w:rPr>
        <w:t>Trust cost</w:t>
      </w:r>
      <w:r>
        <w:rPr>
          <w:rFonts w:ascii="Calibri" w:hAnsi="Calibri"/>
          <w:b w:val="0"/>
          <w:i w:val="0"/>
          <w:sz w:val="21"/>
        </w:rPr>
        <w:t>: evaluation leakage inflates reported performance and undermines industrial confidence; credible evaluation protocols are a prerequisite for adoption.</w:t>
      </w:r>
    </w:p>
    <w:p>
      <w:pPr>
        <w:keepNext/>
        <w:spacing w:before="200" w:after="120"/>
      </w:pPr>
      <w:r>
        <w:rPr>
          <w:rFonts w:ascii="Calibri" w:hAnsi="Calibri"/>
          <w:b/>
          <w:i w:val="0"/>
          <w:color w:val="1F4D78"/>
          <w:sz w:val="22"/>
        </w:rPr>
        <w:t>B. Related Work and Gap</w:t>
      </w:r>
    </w:p>
    <w:p>
      <w:pPr>
        <w:spacing w:before="0" w:after="120"/>
      </w:pPr>
      <w:r>
        <w:rPr>
          <w:rFonts w:ascii="Calibri" w:hAnsi="Calibri"/>
          <w:b w:val="0"/>
          <w:i w:val="0"/>
          <w:sz w:val="21"/>
        </w:rPr>
        <w:t>Recent TIM/IEEE work on PD detection ranges from hardware sensing modules [5] to deep-learning pattern recognition [6], [7], transformer-based multisource PD recognition [8], and self-supervised anomaly detection [9]. Industrial informatics venues increasingly emphasize cost-aware and trustworthy AI for asset monitoring [10]–[12]. However, most existing methods (i) process full-length signals or fixed segments without addressing the sensing-rate design variable, (ii) assume fully labeled windows, and (iii) do not quantify evaluation leakage. This paper addresses the combined sensing–labeling–trust optimization, which is, to our knowledge, not jointly treated in prior industrial AI work.</w:t>
      </w:r>
    </w:p>
    <w:p>
      <w:pPr>
        <w:keepNext/>
        <w:spacing w:before="200" w:after="120"/>
      </w:pPr>
      <w:r>
        <w:rPr>
          <w:rFonts w:ascii="Calibri" w:hAnsi="Calibri"/>
          <w:b/>
          <w:i w:val="0"/>
          <w:color w:val="1F4D78"/>
          <w:sz w:val="22"/>
        </w:rPr>
        <w:t>C. Contributions</w:t>
      </w:r>
    </w:p>
    <w:p>
      <w:pPr>
        <w:spacing w:before="0" w:after="60"/>
        <w:ind w:left="360"/>
      </w:pPr>
      <w:r>
        <w:rPr>
          <w:rFonts w:ascii="Calibri" w:hAnsi="Calibri"/>
          <w:b/>
          <w:i w:val="0"/>
          <w:sz w:val="21"/>
        </w:rPr>
        <w:t>Cost-aware sampling with hardware-rate optimization</w:t>
      </w:r>
      <w:r>
        <w:rPr>
          <w:rFonts w:ascii="Calibri" w:hAnsi="Calibri"/>
          <w:b w:val="0"/>
          <w:i w:val="0"/>
          <w:sz w:val="21"/>
        </w:rPr>
        <w:t>: a deterministic coverage-aware sampling plan (robust event score; equidistant anchors + event windows, K=8, 8.2% data) plus a sampling-rate study (40/20/10/5 MHz) showing 8× sensing-cost reduction at 83% retained performance.</w:t>
      </w:r>
    </w:p>
    <w:p>
      <w:pPr>
        <w:spacing w:before="0" w:after="60"/>
        <w:ind w:left="360"/>
      </w:pPr>
      <w:r>
        <w:rPr>
          <w:rFonts w:ascii="Calibri" w:hAnsi="Calibri"/>
          <w:b/>
          <w:i w:val="0"/>
          <w:sz w:val="21"/>
        </w:rPr>
        <w:t>Time-frequency encoding for weak supervision</w:t>
      </w:r>
      <w:r>
        <w:rPr>
          <w:rFonts w:ascii="Calibri" w:hAnsi="Calibri"/>
          <w:b w:val="0"/>
          <w:i w:val="0"/>
          <w:sz w:val="21"/>
        </w:rPr>
        <w:t>: an STFT+2D-CNN window encoder lifts phase PR-AUC to 0.703 under the same weakly supervised pipeline; a light patch Transformer is benchmarked, revealing a data-scale hypothesis (Transformers excel with more data).</w:t>
      </w:r>
    </w:p>
    <w:p>
      <w:pPr>
        <w:spacing w:before="0" w:after="60"/>
        <w:ind w:left="360"/>
      </w:pPr>
      <w:r>
        <w:rPr>
          <w:rFonts w:ascii="Calibri" w:hAnsi="Calibri"/>
          <w:b/>
          <w:i w:val="0"/>
          <w:sz w:val="21"/>
        </w:rPr>
        <w:t>Labeling-cost quantification</w:t>
      </w:r>
      <w:r>
        <w:rPr>
          <w:rFonts w:ascii="Calibri" w:hAnsi="Calibri"/>
          <w:b w:val="0"/>
          <w:i w:val="0"/>
          <w:sz w:val="21"/>
        </w:rPr>
        <w:t>: 50% phase labels retain 88% of full-supervision performance; a VICReg self-supervised study reports an honest negative result, refining when self-supervision helps.</w:t>
      </w:r>
    </w:p>
    <w:p>
      <w:pPr>
        <w:spacing w:before="0" w:after="60"/>
        <w:ind w:left="360"/>
      </w:pPr>
      <w:r>
        <w:rPr>
          <w:rFonts w:ascii="Calibri" w:hAnsi="Calibri"/>
          <w:b/>
          <w:i w:val="0"/>
          <w:sz w:val="21"/>
        </w:rPr>
        <w:t>Trustworthy evaluation and multi-dataset validation</w:t>
      </w:r>
      <w:r>
        <w:rPr>
          <w:rFonts w:ascii="Calibri" w:hAnsi="Calibri"/>
          <w:b w:val="0"/>
          <w:i w:val="0"/>
          <w:sz w:val="21"/>
        </w:rPr>
        <w:t>: hash-verified split locks, one-time blind tests, prevalence-normalized analytics, and external motor-PD/cross-device validation confirm credible, transferable industrial conclusions.</w:t>
      </w:r>
    </w:p>
    <w:p>
      <w:pPr>
        <w:keepNext/>
        <w:spacing w:before="200" w:after="120"/>
      </w:pPr>
      <w:r>
        <w:rPr>
          <w:rFonts w:ascii="Calibri" w:hAnsi="Calibri"/>
          <w:b/>
          <w:i w:val="0"/>
          <w:color w:val="2E74B5"/>
          <w:sz w:val="24"/>
        </w:rPr>
        <w:t>II. Problem Formulation</w:t>
      </w:r>
    </w:p>
    <w:p>
      <w:pPr>
        <w:spacing w:before="0" w:after="120"/>
      </w:pPr>
      <w:r>
        <w:rPr>
          <w:rFonts w:ascii="Calibri" w:hAnsi="Calibri"/>
          <w:b w:val="0"/>
          <w:i w:val="0"/>
          <w:sz w:val="21"/>
        </w:rPr>
        <w:t xml:space="preserve">Let a measurement consist of three-phase signals $x_A, x_B, x_C$, each of length $L = 800{,}000$ at sampling rate $f_s = 40$ MHz. The phase-level label $y_p \in \{0, 1\}$ indicates whether phase $p$ contains discharge; the measurement-level label follows the noisy-OR logic used by the evaluation metric (a measurement is abnormal if any phase contains discharge). During training only phase-level labels are available. The task is to learn a per-phase discriminator $f_p: x_p \to \hat{y}_p$ ($p \in \{A, B, C\}$) under three industrial constraints: </w:t>
      </w:r>
      <w:r>
        <w:rPr>
          <w:rFonts w:ascii="Calibri" w:hAnsi="Calibri"/>
          <w:b/>
          <w:i w:val="0"/>
          <w:sz w:val="21"/>
        </w:rPr>
        <w:t>(C1) minimal sensing rate</w:t>
      </w:r>
      <w:r>
        <w:rPr>
          <w:rFonts w:ascii="Calibri" w:hAnsi="Calibri"/>
          <w:b w:val="0"/>
          <w:i w:val="0"/>
          <w:sz w:val="21"/>
        </w:rPr>
        <w:t xml:space="preserve"> (hardware cost), </w:t>
      </w:r>
      <w:r>
        <w:rPr>
          <w:rFonts w:ascii="Calibri" w:hAnsi="Calibri"/>
          <w:b/>
          <w:i w:val="0"/>
          <w:sz w:val="21"/>
        </w:rPr>
        <w:t>(C2) minimal labeling</w:t>
      </w:r>
      <w:r>
        <w:rPr>
          <w:rFonts w:ascii="Calibri" w:hAnsi="Calibri"/>
          <w:b w:val="0"/>
          <w:i w:val="0"/>
          <w:sz w:val="21"/>
        </w:rPr>
        <w:t xml:space="preserve"> (annotation cost), and </w:t>
      </w:r>
      <w:r>
        <w:rPr>
          <w:rFonts w:ascii="Calibri" w:hAnsi="Calibri"/>
          <w:b/>
          <w:i w:val="0"/>
          <w:sz w:val="21"/>
        </w:rPr>
        <w:t>(C3) credible evaluation</w:t>
      </w:r>
      <w:r>
        <w:rPr>
          <w:rFonts w:ascii="Calibri" w:hAnsi="Calibri"/>
          <w:b w:val="0"/>
          <w:i w:val="0"/>
          <w:sz w:val="21"/>
        </w:rPr>
        <w:t xml:space="preserve"> (trust).</w:t>
      </w:r>
    </w:p>
    <w:p>
      <w:pPr>
        <w:keepNext/>
        <w:spacing w:before="200" w:after="120"/>
      </w:pPr>
      <w:r>
        <w:rPr>
          <w:rFonts w:ascii="Calibri" w:hAnsi="Calibri"/>
          <w:b/>
          <w:i w:val="0"/>
          <w:color w:val="2E74B5"/>
          <w:sz w:val="24"/>
        </w:rPr>
        <w:t>III. Proposed Framework</w:t>
      </w:r>
    </w:p>
    <w:p>
      <w:pPr>
        <w:keepNext/>
        <w:spacing w:before="200" w:after="120"/>
      </w:pPr>
      <w:r>
        <w:rPr>
          <w:rFonts w:ascii="Calibri" w:hAnsi="Calibri"/>
          <w:b/>
          <w:i w:val="0"/>
          <w:color w:val="1F4D78"/>
          <w:sz w:val="22"/>
        </w:rPr>
        <w:t>A. Coverage-Aware Sampling (CAS)</w:t>
      </w:r>
    </w:p>
    <w:p>
      <w:pPr>
        <w:spacing w:before="0" w:after="120"/>
      </w:pPr>
      <w:r>
        <w:rPr>
          <w:rFonts w:ascii="Calibri" w:hAnsi="Calibri"/>
          <w:b w:val="0"/>
          <w:i w:val="0"/>
          <w:sz w:val="21"/>
        </w:rPr>
        <w:t>For each phase signal $x$ of length $L$, we first remove the median to obtain $\tilde{x}[n] = x[n] - \mathrm{median}(x)$, then compute three energy features pointwise:</w:t>
      </w:r>
    </w:p>
    <w:p>
      <w:pPr>
        <w:spacing w:before="0" w:after="60"/>
        <w:ind w:left="360"/>
      </w:pPr>
      <w:r>
        <w:rPr>
          <w:rFonts w:ascii="Calibri" w:hAnsi="Calibri"/>
          <w:b/>
          <w:i w:val="0"/>
          <w:sz w:val="21"/>
        </w:rPr>
        <w:t>Amplitude</w:t>
      </w:r>
      <w:r>
        <w:rPr>
          <w:rFonts w:ascii="Calibri" w:hAnsi="Calibri"/>
          <w:b w:val="0"/>
          <w:i w:val="0"/>
          <w:sz w:val="21"/>
        </w:rPr>
        <w:t>: $a[n] = |\tilde{x}[n]|$;</w:t>
      </w:r>
    </w:p>
    <w:p>
      <w:pPr>
        <w:spacing w:before="0" w:after="60"/>
        <w:ind w:left="360"/>
      </w:pPr>
      <w:r>
        <w:rPr>
          <w:rFonts w:ascii="Calibri" w:hAnsi="Calibri"/>
          <w:b/>
          <w:i w:val="0"/>
          <w:sz w:val="21"/>
        </w:rPr>
        <w:t>Teager energy</w:t>
      </w:r>
      <w:r>
        <w:rPr>
          <w:rFonts w:ascii="Calibri" w:hAnsi="Calibri"/>
          <w:b w:val="0"/>
          <w:i w:val="0"/>
          <w:sz w:val="21"/>
        </w:rPr>
        <w:t>: $\tau[n] = |\tilde{x}[n]^2 - \tilde{x}[n-1]\tilde{x}[n+1]|$;</w:t>
      </w:r>
    </w:p>
    <w:p>
      <w:pPr>
        <w:spacing w:before="0" w:after="60"/>
        <w:ind w:left="360"/>
      </w:pPr>
      <w:r>
        <w:rPr>
          <w:rFonts w:ascii="Calibri" w:hAnsi="Calibri"/>
          <w:b/>
          <w:i w:val="0"/>
          <w:sz w:val="21"/>
        </w:rPr>
        <w:t>Differential RMS</w:t>
      </w:r>
      <w:r>
        <w:rPr>
          <w:rFonts w:ascii="Calibri" w:hAnsi="Calibri"/>
          <w:b w:val="0"/>
          <w:i w:val="0"/>
          <w:sz w:val="21"/>
        </w:rPr>
        <w:t>: $d[n] = \sqrt{\mathrm{mean}_{m \in W}(\Delta\tilde{x}[m]^2)}$, $|W|=256$ (reflection-padded).</w:t>
      </w:r>
    </w:p>
    <w:p>
      <w:pPr>
        <w:spacing w:before="0" w:after="120"/>
      </w:pPr>
      <w:r>
        <w:rPr>
          <w:rFonts w:ascii="Calibri" w:hAnsi="Calibri"/>
          <w:b w:val="0"/>
          <w:i w:val="0"/>
          <w:sz w:val="21"/>
        </w:rPr>
        <w:t>A robust non-negative z-score is defined per feature $v$:</w:t>
      </w:r>
    </w:p>
    <w:p>
      <w:pPr>
        <w:jc w:val="center"/>
      </w:pPr>
      <w:r>
        <w:rPr>
          <w:rFonts w:ascii="Cambria Math" w:hAnsi="Cambria Math"/>
          <w:b w:val="0"/>
          <w:i/>
          <w:sz w:val="21"/>
        </w:rPr>
        <w:t>z(v) = \max\left(\frac{v - \mathrm{median}(v)}{1.4826 \cdot \mathrm{MAD}(v)}, 0\right) \qquad (1)</w:t>
      </w:r>
    </w:p>
    <w:p>
      <w:pPr>
        <w:spacing w:before="0" w:after="120"/>
      </w:pPr>
      <w:r>
        <w:rPr>
          <w:rFonts w:ascii="Calibri" w:hAnsi="Calibri"/>
          <w:b w:val="0"/>
          <w:i w:val="0"/>
          <w:sz w:val="21"/>
        </w:rPr>
        <w:t>with MAD fallback to mean-absolute deviation when degenerate. The event score is</w:t>
      </w:r>
    </w:p>
    <w:p>
      <w:pPr>
        <w:jc w:val="center"/>
      </w:pPr>
      <w:r>
        <w:rPr>
          <w:rFonts w:ascii="Cambria Math" w:hAnsi="Cambria Math"/>
          <w:b w:val="0"/>
          <w:i/>
          <w:sz w:val="21"/>
        </w:rPr>
        <w:t>S[n] = \max(z(a[n]),\, z(\tau[n]),\, z(d[n])) \qquad (2)</w:t>
      </w:r>
    </w:p>
    <w:p>
      <w:pPr>
        <w:spacing w:before="0" w:after="120"/>
      </w:pPr>
      <w:r>
        <w:rPr>
          <w:rFonts w:ascii="Calibri" w:hAnsi="Calibri"/>
          <w:b/>
          <w:i w:val="0"/>
          <w:sz w:val="21"/>
        </w:rPr>
        <w:t>Deterministic sampling plan (Algorithm 1)</w:t>
      </w:r>
      <w:r>
        <w:rPr>
          <w:rFonts w:ascii="Calibri" w:hAnsi="Calibri"/>
          <w:b w:val="0"/>
          <w:i w:val="0"/>
          <w:sz w:val="21"/>
        </w:rPr>
        <w:t>. For each phase, extract $K = K_u + K_e = 8$ windows of length $W = 8{,}192$:</w:t>
      </w:r>
    </w:p>
    <w:p>
      <w:pPr>
        <w:spacing w:before="0" w:after="60"/>
        <w:ind w:left="360"/>
      </w:pPr>
      <w:r>
        <w:rPr>
          <w:rFonts w:ascii="Calibri" w:hAnsi="Calibri"/>
          <w:b w:val="0"/>
          <w:i/>
          <w:sz w:val="21"/>
        </w:rPr>
        <w:t>Equidistant anchors</w:t>
      </w:r>
      <w:r>
        <w:rPr>
          <w:rFonts w:ascii="Calibri" w:hAnsi="Calibri"/>
          <w:b w:val="0"/>
          <w:i w:val="0"/>
          <w:sz w:val="21"/>
        </w:rPr>
        <w:t xml:space="preserve"> ($K_u=4$): uniformly spaced windows with maximally separated starts — guarantee full-signal coverage;</w:t>
      </w:r>
    </w:p>
    <w:p>
      <w:pPr>
        <w:spacing w:before="0" w:after="60"/>
        <w:ind w:left="360"/>
      </w:pPr>
      <w:r>
        <w:rPr>
          <w:rFonts w:ascii="Calibri" w:hAnsi="Calibri"/>
          <w:b w:val="0"/>
          <w:i/>
          <w:sz w:val="21"/>
        </w:rPr>
        <w:t>Event windows</w:t>
      </w:r>
      <w:r>
        <w:rPr>
          <w:rFonts w:ascii="Calibri" w:hAnsi="Calibri"/>
          <w:b w:val="0"/>
          <w:i w:val="0"/>
          <w:sz w:val="21"/>
        </w:rPr>
        <w:t xml:space="preserve"> ($K_e=4$): peaks of $S$ (min distance $W/2$), sorted by $(-S, \text{start})$, deduplicated by IoU ≥ 0.5 against selected windows;</w:t>
      </w:r>
    </w:p>
    <w:p>
      <w:pPr>
        <w:spacing w:before="0" w:after="60"/>
        <w:ind w:left="360"/>
      </w:pPr>
      <w:r>
        <w:rPr>
          <w:rFonts w:ascii="Calibri" w:hAnsi="Calibri"/>
          <w:b w:val="0"/>
          <w:i/>
          <w:sz w:val="21"/>
        </w:rPr>
        <w:t>Hierarchical fallback</w:t>
      </w:r>
      <w:r>
        <w:rPr>
          <w:rFonts w:ascii="Calibri" w:hAnsi="Calibri"/>
          <w:b w:val="0"/>
          <w:i w:val="0"/>
          <w:sz w:val="21"/>
        </w:rPr>
        <w:t>: if fewer than $K$ windows are selected, fill from a 256-grid by maximum min-distance.</w:t>
      </w:r>
    </w:p>
    <w:p>
      <w:pPr>
        <w:spacing w:before="0" w:after="120"/>
      </w:pPr>
      <w:r>
        <w:rPr>
          <w:rFonts w:ascii="Calibri" w:hAnsi="Calibri"/>
          <w:b w:val="0"/>
          <w:i w:val="0"/>
          <w:sz w:val="21"/>
        </w:rPr>
        <w:t>All sampling parameters are committed to a SHA-256 lock, making the plan deterministic and reproducible. The plan processes only $K \cdot W / L = 8.2\%$ of the raw data.</w:t>
      </w:r>
    </w:p>
    <w:p>
      <w:pPr>
        <w:spacing w:before="0" w:after="120"/>
      </w:pPr>
      <w:r>
        <w:rPr>
          <w:rFonts w:ascii="Calibri" w:hAnsi="Calibri"/>
          <w:b/>
          <w:i w:val="0"/>
          <w:sz w:val="21"/>
        </w:rPr>
        <w:t>Algorithm 1</w:t>
      </w:r>
      <w:r>
        <w:rPr>
          <w:rFonts w:ascii="Calibri" w:hAnsi="Calibri"/>
          <w:b w:val="0"/>
          <w:i w:val="0"/>
          <w:sz w:val="21"/>
        </w:rPr>
        <w:t xml:space="preserve"> Coverage-aware deterministic sampling</w:t>
      </w:r>
    </w:p>
    <w:p>
      <w:r>
        <w:rPr>
          <w:rFonts w:ascii="Consolas" w:hAnsi="Consolas"/>
          <w:b w:val="0"/>
          <w:i w:val="0"/>
          <w:sz w:val="18"/>
        </w:rPr>
        <w:t>Input: x ∈ R^L, K_u = K_e = 4, W = 8192</w:t>
        <w:br/>
        <w:t>Output: window set W with |W| = K_u + K_e</w:t>
        <w:br/>
        <w:t>1: W ← ∅; x̃ ← x − median(x)</w:t>
        <w:br/>
        <w:t>2: compute a, τ, d; S ← max(z(a), z(τ), z(d))      # Eq. (2)</w:t>
        <w:br/>
        <w:t>3: Phase I — anchors: place K_u equidistant windows; W ← W ∪ anchors</w:t>
        <w:br/>
        <w:t>4: Phase II — events:</w:t>
        <w:br/>
        <w:t>5:   P ← peaks(S, dist_min = W/2, S &gt; 0)</w:t>
        <w:br/>
        <w:t>6:   sort P by (−S, start)</w:t>
        <w:br/>
        <w:t>7:   for p ∈ P:</w:t>
        <w:br/>
        <w:t>8:     s ← clip(peak_p − W/2, 0, L − W)</w:t>
        <w:br/>
        <w:t>9:     if IoU([s, s+W], w) &lt; 0.5 for all w ∈ W: W ← W ∪ {[s, s+W]}</w:t>
        <w:br/>
        <w:t>10:    if |W| = K: break</w:t>
        <w:br/>
        <w:t>11: Phase III — fallback: while |W| &lt; K: add max-min-distance 256-grid window</w:t>
        <w:br/>
        <w:t>12: return W</w:t>
      </w:r>
    </w:p>
    <w:p>
      <w:pPr>
        <w:keepNext/>
        <w:spacing w:before="200" w:after="120"/>
      </w:pPr>
      <w:r>
        <w:rPr>
          <w:rFonts w:ascii="Calibri" w:hAnsi="Calibri"/>
          <w:b/>
          <w:i w:val="0"/>
          <w:color w:val="1F4D78"/>
          <w:sz w:val="22"/>
        </w:rPr>
        <w:t>B. Time-Frequency Window Encoder (TFE)</w:t>
      </w:r>
    </w:p>
    <w:p>
      <w:pPr>
        <w:spacing w:before="0" w:after="120"/>
      </w:pPr>
      <w:r>
        <w:rPr>
          <w:rFonts w:ascii="Calibri" w:hAnsi="Calibri"/>
          <w:b w:val="0"/>
          <w:i w:val="0"/>
          <w:sz w:val="21"/>
        </w:rPr>
        <w:t>For each window $\mathbf{w} \in \mathbb{R}^{8192}$, the TFE computes a log-magnitude STFT spectrogram (256-point FFT, hop 128, Hann window) and processes it with three 2D convolution blocks (GroupNorm + SiLU), followed by global average+max pooling and a linear projection:</w:t>
      </w:r>
    </w:p>
    <w:p>
      <w:pPr>
        <w:jc w:val="center"/>
      </w:pPr>
      <w:r>
        <w:rPr>
          <w:rFonts w:ascii="Cambria Math" w:hAnsi="Cambria Math"/>
          <w:b w:val="0"/>
          <w:i/>
          <w:sz w:val="21"/>
        </w:rPr>
        <w:t>\mathbf{h}_{\mathrm{tf}} = \mathrm{Proj}\big(\mathrm{Pool}\big(\mathrm{CNN}_{2d}\big(\log(1+|\mathrm{STFT}(\mathbf{w})|)\big)\big)\big) \qquad (3)</w:t>
      </w:r>
    </w:p>
    <w:p>
      <w:pPr>
        <w:spacing w:before="0" w:after="120"/>
      </w:pPr>
      <w:r>
        <w:rPr>
          <w:rFonts w:ascii="Calibri" w:hAnsi="Calibri"/>
          <w:b w:val="0"/>
          <w:i w:val="0"/>
          <w:sz w:val="21"/>
        </w:rPr>
        <w:t xml:space="preserve">with $\mathbf{h}_{\mathrm{tf}} \in \mathbb{R}^{128}$. The full pipeline (encoder + MIL + interaction + head) has </w:t>
      </w:r>
      <w:r>
        <w:rPr>
          <w:rFonts w:ascii="Calibri" w:hAnsi="Calibri"/>
          <w:b/>
          <w:i w:val="0"/>
          <w:sz w:val="21"/>
        </w:rPr>
        <w:t>167,394 parameters</w:t>
      </w:r>
      <w:r>
        <w:rPr>
          <w:rFonts w:ascii="Calibri" w:hAnsi="Calibri"/>
          <w:b w:val="0"/>
          <w:i w:val="0"/>
          <w:sz w:val="21"/>
        </w:rPr>
        <w:t>.</w:t>
      </w:r>
    </w:p>
    <w:p>
      <w:pPr>
        <w:spacing w:before="0" w:after="120"/>
      </w:pPr>
      <w:r>
        <w:rPr>
          <w:rFonts w:ascii="Calibri" w:hAnsi="Calibri"/>
          <w:b/>
          <w:i w:val="0"/>
          <w:sz w:val="21"/>
        </w:rPr>
        <w:t>Light patch Transformer (LPT, comparison)</w:t>
      </w:r>
      <w:r>
        <w:rPr>
          <w:rFonts w:ascii="Calibri" w:hAnsi="Calibri"/>
          <w:b w:val="0"/>
          <w:i w:val="0"/>
          <w:sz w:val="21"/>
        </w:rPr>
        <w:t>: the window is patched into 128 tokens of 64 samples; a learnable positional embedding is added; a 2-layer Transformer encoder ($d=96$, 4 heads, feed-forward 192, GELU, norm-first) produces token representations; global avg+max pooling projects to 128-d (</w:t>
      </w:r>
      <w:r>
        <w:rPr>
          <w:rFonts w:ascii="Calibri" w:hAnsi="Calibri"/>
          <w:b/>
          <w:i w:val="0"/>
          <w:sz w:val="21"/>
        </w:rPr>
        <w:t>234,594 parameters</w:t>
      </w:r>
      <w:r>
        <w:rPr>
          <w:rFonts w:ascii="Calibri" w:hAnsi="Calibri"/>
          <w:b w:val="0"/>
          <w:i w:val="0"/>
          <w:sz w:val="21"/>
        </w:rPr>
        <w:t xml:space="preserve"> in the full pipeline).</w:t>
      </w:r>
    </w:p>
    <w:p>
      <w:pPr>
        <w:keepNext/>
        <w:spacing w:before="200" w:after="120"/>
      </w:pPr>
      <w:r>
        <w:rPr>
          <w:rFonts w:ascii="Calibri" w:hAnsi="Calibri"/>
          <w:b/>
          <w:i w:val="0"/>
          <w:color w:val="1F4D78"/>
          <w:sz w:val="22"/>
        </w:rPr>
        <w:t>C. Hierarchical Weak Supervision</w:t>
      </w:r>
    </w:p>
    <w:p>
      <w:pPr>
        <w:spacing w:before="0" w:after="120"/>
      </w:pPr>
      <w:r>
        <w:rPr>
          <w:rFonts w:ascii="Calibri" w:hAnsi="Calibri"/>
          <w:b/>
          <w:i w:val="0"/>
          <w:sz w:val="21"/>
        </w:rPr>
        <w:t>Window-to-phase attention MIL</w:t>
      </w:r>
      <w:r>
        <w:rPr>
          <w:rFonts w:ascii="Calibri" w:hAnsi="Calibri"/>
          <w:b w:val="0"/>
          <w:i w:val="0"/>
          <w:sz w:val="21"/>
        </w:rPr>
        <w:t>. With $K$ window embeddings $\{\mathbf{h}_1, \ldots, \mathbf{h}_K\} \subset \mathbb{R}^{128}$ per phase, attention-based MIL [13] aggregates them:</w:t>
      </w:r>
    </w:p>
    <w:p>
      <w:pPr>
        <w:jc w:val="center"/>
      </w:pPr>
      <w:r>
        <w:rPr>
          <w:rFonts w:ascii="Cambria Math" w:hAnsi="Cambria Math"/>
          <w:b w:val="0"/>
          <w:i/>
          <w:sz w:val="21"/>
        </w:rPr>
        <w:t>\alpha_k = \frac{\exp(\mathbf{v}^\top \tanh(\mathbf{W}\mathbf{h}_k))}{\sum_{j=1}^K \exp(\mathbf{v}^\top \tanh(\mathbf{W}\mathbf{h}_j))}, \qquad \mathbf{z}_p = \sum_{k=1}^K \alpha_k \mathbf{h}_k \qquad (4)</w:t>
      </w:r>
    </w:p>
    <w:p>
      <w:pPr>
        <w:spacing w:before="0" w:after="120"/>
      </w:pPr>
      <w:r>
        <w:rPr>
          <w:rFonts w:ascii="Calibri" w:hAnsi="Calibri"/>
          <w:b/>
          <w:i w:val="0"/>
          <w:sz w:val="21"/>
        </w:rPr>
        <w:t>Context-concat three-phase interaction</w:t>
      </w:r>
      <w:r>
        <w:rPr>
          <w:rFonts w:ascii="Calibri" w:hAnsi="Calibri"/>
          <w:b w:val="0"/>
          <w:i w:val="0"/>
          <w:sz w:val="21"/>
        </w:rPr>
        <w:t>. Let $\mathbf{c} = \frac{1}{3}(\mathbf{z}_A + \mathbf{z}_B + \mathbf{z}_C)$ be the global phase context; each phase's representation is concatenated with the context and classified:</w:t>
      </w:r>
    </w:p>
    <w:p>
      <w:pPr>
        <w:jc w:val="center"/>
      </w:pPr>
      <w:r>
        <w:rPr>
          <w:rFonts w:ascii="Cambria Math" w:hAnsi="Cambria Math"/>
          <w:b w:val="0"/>
          <w:i/>
          <w:sz w:val="21"/>
        </w:rPr>
        <w:t>\hat{y}_p = \sigma\big(\mathbf{w}_p^\top [\mathbf{z}_p, \mathbf{c}] + b_p\big) \qquad (5)</w:t>
      </w:r>
    </w:p>
    <w:p>
      <w:pPr>
        <w:spacing w:before="0" w:after="120"/>
      </w:pPr>
      <w:r>
        <w:rPr>
          <w:rFonts w:ascii="Calibri" w:hAnsi="Calibri"/>
          <w:b/>
          <w:i w:val="0"/>
          <w:sz w:val="21"/>
        </w:rPr>
        <w:t>Measurement-level inference</w:t>
      </w:r>
      <w:r>
        <w:rPr>
          <w:rFonts w:ascii="Calibri" w:hAnsi="Calibri"/>
          <w:b w:val="0"/>
          <w:i w:val="0"/>
          <w:sz w:val="21"/>
        </w:rPr>
        <w:t>. Deterministic noisy-OR: $\hat{y}_{\mathrm{meas}} = 1 - \prod_p (1 - \hat{y}_p)$.</w:t>
      </w:r>
    </w:p>
    <w:p>
      <w:pPr>
        <w:spacing w:before="0" w:after="120"/>
      </w:pPr>
      <w:r>
        <w:rPr>
          <w:rFonts w:ascii="Calibri" w:hAnsi="Calibri"/>
          <w:b/>
          <w:i w:val="0"/>
          <w:sz w:val="21"/>
        </w:rPr>
        <w:t>Loss</w:t>
      </w:r>
      <w:r>
        <w:rPr>
          <w:rFonts w:ascii="Calibri" w:hAnsi="Calibri"/>
          <w:b w:val="0"/>
          <w:i w:val="0"/>
          <w:sz w:val="21"/>
        </w:rPr>
        <w:t>. Phase-level binary cross-entropy: $\mathcal{L} = \sum_p \mathrm{BCE}(\hat{y}_p, y_p)$.</w:t>
      </w:r>
    </w:p>
    <w:p>
      <w:pPr>
        <w:keepNext/>
        <w:spacing w:before="200" w:after="120"/>
      </w:pPr>
      <w:r>
        <w:rPr>
          <w:rFonts w:ascii="Calibri" w:hAnsi="Calibri"/>
          <w:b/>
          <w:i w:val="0"/>
          <w:color w:val="1F4D78"/>
          <w:sz w:val="22"/>
        </w:rPr>
        <w:t>D. Trustworthy Evaluation Protocol</w:t>
      </w:r>
    </w:p>
    <w:p>
      <w:pPr>
        <w:spacing w:before="0" w:after="60"/>
        <w:ind w:left="360"/>
      </w:pPr>
      <w:r>
        <w:rPr>
          <w:rFonts w:ascii="Calibri" w:hAnsi="Calibri"/>
          <w:b/>
          <w:i w:val="0"/>
          <w:sz w:val="21"/>
        </w:rPr>
        <w:t>Leakage audit</w:t>
      </w:r>
      <w:r>
        <w:rPr>
          <w:rFonts w:ascii="Calibri" w:hAnsi="Calibri"/>
          <w:b w:val="0"/>
          <w:i w:val="0"/>
          <w:sz w:val="21"/>
        </w:rPr>
        <w:t>: 56 historical prediction files scanned; 158 contaminated candidates demoted.</w:t>
      </w:r>
    </w:p>
    <w:p>
      <w:pPr>
        <w:spacing w:before="0" w:after="60"/>
        <w:ind w:left="360"/>
      </w:pPr>
      <w:r>
        <w:rPr>
          <w:rFonts w:ascii="Calibri" w:hAnsi="Calibri"/>
          <w:b/>
          <w:i w:val="0"/>
          <w:sz w:val="21"/>
        </w:rPr>
        <w:t>Split locks</w:t>
      </w:r>
      <w:r>
        <w:rPr>
          <w:rFonts w:ascii="Calibri" w:hAnsi="Calibri"/>
          <w:b w:val="0"/>
          <w:i w:val="0"/>
          <w:sz w:val="21"/>
        </w:rPr>
        <w:t>: development (2,481) / blind (423) split and all pipeline parameters committed to SHA-256 hash-verified locks; new splits (IR, sampling-rate) get their own locks.</w:t>
      </w:r>
    </w:p>
    <w:p>
      <w:pPr>
        <w:spacing w:before="0" w:after="60"/>
        <w:ind w:left="360"/>
      </w:pPr>
      <w:r>
        <w:rPr>
          <w:rFonts w:ascii="Calibri" w:hAnsi="Calibri"/>
          <w:b/>
          <w:i w:val="0"/>
          <w:sz w:val="21"/>
        </w:rPr>
        <w:t>One-time blind tests</w:t>
      </w:r>
      <w:r>
        <w:rPr>
          <w:rFonts w:ascii="Calibri" w:hAnsi="Calibri"/>
          <w:b w:val="0"/>
          <w:i w:val="0"/>
          <w:sz w:val="21"/>
        </w:rPr>
        <w:t>: the frozen model is evaluated exactly once on held-out partitions, with tamper-evident receipts binding protocol lock and checkpoint hashes.</w:t>
      </w:r>
    </w:p>
    <w:p>
      <w:pPr>
        <w:spacing w:before="0" w:after="60"/>
        <w:ind w:left="360"/>
      </w:pPr>
      <w:r>
        <w:rPr>
          <w:rFonts w:ascii="Calibri" w:hAnsi="Calibri"/>
          <w:b/>
          <w:i w:val="0"/>
          <w:sz w:val="21"/>
        </w:rPr>
        <w:t>Prevalence-normalized analytics</w:t>
      </w:r>
      <w:r>
        <w:rPr>
          <w:rFonts w:ascii="Calibri" w:hAnsi="Calibri"/>
          <w:b w:val="0"/>
          <w:i w:val="0"/>
          <w:sz w:val="21"/>
        </w:rPr>
        <w:t>: analytic PR reweighting decomposes apparent PR-AUC gaps into prevalence effects vs genuine domain shifts.</w:t>
      </w:r>
    </w:p>
    <w:p>
      <w:pPr>
        <w:spacing w:before="0" w:after="60"/>
        <w:ind w:left="360"/>
      </w:pPr>
      <w:r>
        <w:rPr>
          <w:rFonts w:ascii="Calibri" w:hAnsi="Calibri"/>
          <w:b/>
          <w:i w:val="0"/>
          <w:sz w:val="21"/>
        </w:rPr>
        <w:t>Measurement-clustered bootstrap</w:t>
      </w:r>
      <w:r>
        <w:rPr>
          <w:rFonts w:ascii="Calibri" w:hAnsi="Calibri"/>
          <w:b w:val="0"/>
          <w:i w:val="0"/>
          <w:sz w:val="21"/>
        </w:rPr>
        <w:t>: 2,000 resamples stratified by measurement for confidence intervals.</w:t>
      </w:r>
    </w:p>
    <w:p>
      <w:pPr>
        <w:keepNext/>
        <w:spacing w:before="200" w:after="120"/>
      </w:pPr>
      <w:r>
        <w:rPr>
          <w:rFonts w:ascii="Calibri" w:hAnsi="Calibri"/>
          <w:b/>
          <w:i w:val="0"/>
          <w:color w:val="2E74B5"/>
          <w:sz w:val="24"/>
        </w:rPr>
        <w:t>IV. Experiments</w:t>
      </w:r>
    </w:p>
    <w:p>
      <w:pPr>
        <w:keepNext/>
        <w:spacing w:before="200" w:after="120"/>
      </w:pPr>
      <w:r>
        <w:rPr>
          <w:rFonts w:ascii="Calibri" w:hAnsi="Calibri"/>
          <w:b/>
          <w:i w:val="0"/>
          <w:color w:val="1F4D78"/>
          <w:sz w:val="22"/>
        </w:rPr>
        <w:t>A. Datasets and Protocol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val="clear" w:fill="F4F6F9"/>
          </w:tcPr>
          <w:p>
            <w:pPr>
              <w:spacing w:after="40" w:before="40"/>
            </w:pPr>
            <w:r/>
            <w:r>
              <w:rPr>
                <w:rFonts w:ascii="Calibri" w:hAnsi="Calibri"/>
                <w:b/>
                <w:i w:val="0"/>
                <w:sz w:val="18"/>
              </w:rPr>
              <w:t>Dataset</w:t>
            </w:r>
          </w:p>
        </w:tc>
        <w:tc>
          <w:tcPr>
            <w:tcW w:type="dxa" w:w="1872"/>
            <w:vAlign w:val="center"/>
            <w:shd w:val="clear" w:fill="F4F6F9"/>
          </w:tcPr>
          <w:p>
            <w:pPr>
              <w:spacing w:after="40" w:before="40"/>
            </w:pPr>
            <w:r/>
            <w:r>
              <w:rPr>
                <w:rFonts w:ascii="Calibri" w:hAnsi="Calibri"/>
                <w:b/>
                <w:i w:val="0"/>
                <w:sz w:val="18"/>
              </w:rPr>
              <w:t>Task</w:t>
            </w:r>
          </w:p>
        </w:tc>
        <w:tc>
          <w:tcPr>
            <w:tcW w:type="dxa" w:w="1872"/>
            <w:vAlign w:val="center"/>
            <w:shd w:val="clear" w:fill="F4F6F9"/>
          </w:tcPr>
          <w:p>
            <w:pPr>
              <w:spacing w:after="40" w:before="40"/>
            </w:pPr>
            <w:r/>
            <w:r>
              <w:rPr>
                <w:rFonts w:ascii="Calibri" w:hAnsi="Calibri"/>
                <w:b/>
                <w:i w:val="0"/>
                <w:sz w:val="18"/>
              </w:rPr>
              <w:t>Samples</w:t>
            </w:r>
          </w:p>
        </w:tc>
        <w:tc>
          <w:tcPr>
            <w:tcW w:type="dxa" w:w="1872"/>
            <w:vAlign w:val="center"/>
            <w:shd w:val="clear" w:fill="F4F6F9"/>
          </w:tcPr>
          <w:p>
            <w:pPr>
              <w:spacing w:after="40" w:before="40"/>
            </w:pPr>
            <w:r/>
            <w:r>
              <w:rPr>
                <w:rFonts w:ascii="Calibri" w:hAnsi="Calibri"/>
                <w:b/>
                <w:i w:val="0"/>
                <w:sz w:val="18"/>
              </w:rPr>
              <w:t>Positive rate</w:t>
            </w:r>
          </w:p>
        </w:tc>
        <w:tc>
          <w:tcPr>
            <w:tcW w:type="dxa" w:w="1872"/>
            <w:vAlign w:val="center"/>
            <w:shd w:val="clear" w:fill="F4F6F9"/>
          </w:tcPr>
          <w:p>
            <w:pPr>
              <w:spacing w:after="40" w:before="40"/>
            </w:pPr>
            <w:r/>
            <w:r>
              <w:rPr>
                <w:rFonts w:ascii="Calibri" w:hAnsi="Calibri"/>
                <w:b/>
                <w:i w:val="0"/>
                <w:sz w:val="18"/>
              </w:rPr>
              <w:t>Role</w:t>
            </w:r>
          </w:p>
        </w:tc>
      </w:tr>
      <w:tr>
        <w:tc>
          <w:tcPr>
            <w:tcW w:type="dxa" w:w="1872"/>
            <w:vAlign w:val="center"/>
          </w:tcPr>
          <w:p>
            <w:pPr>
              <w:spacing w:after="40" w:before="40"/>
            </w:pPr>
            <w:r/>
            <w:r>
              <w:rPr>
                <w:rFonts w:ascii="Calibri" w:hAnsi="Calibri"/>
                <w:b w:val="0"/>
                <w:i w:val="0"/>
                <w:sz w:val="18"/>
              </w:rPr>
              <w:t>VSB (Kaggle 2019) [3]</w:t>
            </w:r>
          </w:p>
        </w:tc>
        <w:tc>
          <w:tcPr>
            <w:tcW w:type="dxa" w:w="1872"/>
            <w:vAlign w:val="center"/>
          </w:tcPr>
          <w:p>
            <w:pPr>
              <w:spacing w:after="40" w:before="40"/>
            </w:pPr>
            <w:r/>
            <w:r>
              <w:rPr>
                <w:rFonts w:ascii="Calibri" w:hAnsi="Calibri"/>
                <w:b w:val="0"/>
                <w:i w:val="0"/>
                <w:sz w:val="18"/>
              </w:rPr>
              <w:t>3-phase PD</w:t>
            </w:r>
          </w:p>
        </w:tc>
        <w:tc>
          <w:tcPr>
            <w:tcW w:type="dxa" w:w="1872"/>
            <w:vAlign w:val="center"/>
          </w:tcPr>
          <w:p>
            <w:pPr>
              <w:spacing w:after="40" w:before="40"/>
            </w:pPr>
            <w:r/>
            <w:r>
              <w:rPr>
                <w:rFonts w:ascii="Calibri" w:hAnsi="Calibri"/>
                <w:b w:val="0"/>
                <w:i w:val="0"/>
                <w:sz w:val="18"/>
              </w:rPr>
              <w:t>2,481 dev (7,443 phases)</w:t>
            </w:r>
          </w:p>
        </w:tc>
        <w:tc>
          <w:tcPr>
            <w:tcW w:type="dxa" w:w="1872"/>
            <w:vAlign w:val="center"/>
          </w:tcPr>
          <w:p>
            <w:pPr>
              <w:spacing w:after="40" w:before="40"/>
            </w:pPr>
            <w:r/>
            <w:r>
              <w:rPr>
                <w:rFonts w:ascii="Calibri" w:hAnsi="Calibri"/>
                <w:b w:val="0"/>
                <w:i w:val="0"/>
                <w:sz w:val="18"/>
              </w:rPr>
              <w:t>5.95%</w:t>
            </w:r>
          </w:p>
        </w:tc>
        <w:tc>
          <w:tcPr>
            <w:tcW w:type="dxa" w:w="1872"/>
            <w:vAlign w:val="center"/>
          </w:tcPr>
          <w:p>
            <w:pPr>
              <w:spacing w:after="40" w:before="40"/>
            </w:pPr>
            <w:r/>
            <w:r>
              <w:rPr>
                <w:rFonts w:ascii="Calibri" w:hAnsi="Calibri"/>
                <w:b w:val="0"/>
                <w:i w:val="0"/>
                <w:sz w:val="18"/>
              </w:rPr>
              <w:t>Main</w:t>
            </w:r>
          </w:p>
        </w:tc>
      </w:tr>
      <w:tr>
        <w:tc>
          <w:tcPr>
            <w:tcW w:type="dxa" w:w="1872"/>
            <w:vAlign w:val="center"/>
          </w:tcPr>
          <w:p>
            <w:pPr>
              <w:spacing w:after="40" w:before="40"/>
            </w:pPr>
            <w:r/>
            <w:r>
              <w:rPr>
                <w:rFonts w:ascii="Calibri" w:hAnsi="Calibri"/>
                <w:b w:val="0"/>
                <w:i w:val="0"/>
                <w:sz w:val="18"/>
              </w:rPr>
              <w:t>figshare 24033225</w:t>
            </w:r>
          </w:p>
        </w:tc>
        <w:tc>
          <w:tcPr>
            <w:tcW w:type="dxa" w:w="1872"/>
            <w:vAlign w:val="center"/>
          </w:tcPr>
          <w:p>
            <w:pPr>
              <w:spacing w:after="40" w:before="40"/>
            </w:pPr>
            <w:r/>
            <w:r>
              <w:rPr>
                <w:rFonts w:ascii="Calibri" w:hAnsi="Calibri"/>
                <w:b w:val="0"/>
                <w:i w:val="0"/>
                <w:sz w:val="18"/>
              </w:rPr>
              <w:t>Motor PD vs noise</w:t>
            </w:r>
          </w:p>
        </w:tc>
        <w:tc>
          <w:tcPr>
            <w:tcW w:type="dxa" w:w="1872"/>
            <w:vAlign w:val="center"/>
          </w:tcPr>
          <w:p>
            <w:pPr>
              <w:spacing w:after="40" w:before="40"/>
            </w:pPr>
            <w:r/>
            <w:r>
              <w:rPr>
                <w:rFonts w:ascii="Calibri" w:hAnsi="Calibri"/>
                <w:b w:val="0"/>
                <w:i w:val="0"/>
                <w:sz w:val="18"/>
              </w:rPr>
              <w:t>45,970 test</w:t>
            </w:r>
          </w:p>
        </w:tc>
        <w:tc>
          <w:tcPr>
            <w:tcW w:type="dxa" w:w="1872"/>
            <w:vAlign w:val="center"/>
          </w:tcPr>
          <w:p>
            <w:pPr>
              <w:spacing w:after="40" w:before="40"/>
            </w:pPr>
            <w:r/>
            <w:r>
              <w:rPr>
                <w:rFonts w:ascii="Calibri" w:hAnsi="Calibri"/>
                <w:b w:val="0"/>
                <w:i w:val="0"/>
                <w:sz w:val="18"/>
              </w:rPr>
              <w:t>50%</w:t>
            </w:r>
          </w:p>
        </w:tc>
        <w:tc>
          <w:tcPr>
            <w:tcW w:type="dxa" w:w="1872"/>
            <w:vAlign w:val="center"/>
          </w:tcPr>
          <w:p>
            <w:pPr>
              <w:spacing w:after="40" w:before="40"/>
            </w:pPr>
            <w:r/>
            <w:r>
              <w:rPr>
                <w:rFonts w:ascii="Calibri" w:hAnsi="Calibri"/>
                <w:b w:val="0"/>
                <w:i w:val="0"/>
                <w:sz w:val="18"/>
              </w:rPr>
              <w:t>External</w:t>
            </w:r>
          </w:p>
        </w:tc>
      </w:tr>
      <w:tr>
        <w:tc>
          <w:tcPr>
            <w:tcW w:type="dxa" w:w="1872"/>
            <w:vAlign w:val="center"/>
          </w:tcPr>
          <w:p>
            <w:pPr>
              <w:spacing w:after="40" w:before="40"/>
            </w:pPr>
            <w:r/>
            <w:r>
              <w:rPr>
                <w:rFonts w:ascii="Calibri" w:hAnsi="Calibri"/>
                <w:b w:val="0"/>
                <w:i w:val="0"/>
                <w:sz w:val="18"/>
              </w:rPr>
              <w:t>figshare 28523090</w:t>
            </w:r>
          </w:p>
        </w:tc>
        <w:tc>
          <w:tcPr>
            <w:tcW w:type="dxa" w:w="1872"/>
            <w:vAlign w:val="center"/>
          </w:tcPr>
          <w:p>
            <w:pPr>
              <w:spacing w:after="40" w:before="40"/>
            </w:pPr>
            <w:r/>
            <w:r>
              <w:rPr>
                <w:rFonts w:ascii="Calibri" w:hAnsi="Calibri"/>
                <w:b w:val="0"/>
                <w:i w:val="0"/>
                <w:sz w:val="18"/>
              </w:rPr>
              <w:t>Oscilloscope PD (C1→C2)</w:t>
            </w:r>
          </w:p>
        </w:tc>
        <w:tc>
          <w:tcPr>
            <w:tcW w:type="dxa" w:w="1872"/>
            <w:vAlign w:val="center"/>
          </w:tcPr>
          <w:p>
            <w:pPr>
              <w:spacing w:after="40" w:before="40"/>
            </w:pPr>
            <w:r/>
            <w:r>
              <w:rPr>
                <w:rFonts w:ascii="Calibri" w:hAnsi="Calibri"/>
                <w:b w:val="0"/>
                <w:i w:val="0"/>
                <w:sz w:val="18"/>
              </w:rPr>
              <w:t>639/319 test</w:t>
            </w:r>
          </w:p>
        </w:tc>
        <w:tc>
          <w:tcPr>
            <w:tcW w:type="dxa" w:w="1872"/>
            <w:vAlign w:val="center"/>
          </w:tcPr>
          <w:p>
            <w:pPr>
              <w:spacing w:after="40" w:before="40"/>
            </w:pPr>
            <w:r/>
            <w:r>
              <w:rPr>
                <w:rFonts w:ascii="Calibri" w:hAnsi="Calibri"/>
                <w:b w:val="0"/>
                <w:i w:val="0"/>
                <w:sz w:val="18"/>
              </w:rPr>
              <w:t>—</w:t>
            </w:r>
          </w:p>
        </w:tc>
        <w:tc>
          <w:tcPr>
            <w:tcW w:type="dxa" w:w="1872"/>
            <w:vAlign w:val="center"/>
          </w:tcPr>
          <w:p>
            <w:pPr>
              <w:spacing w:after="40" w:before="40"/>
            </w:pPr>
            <w:r/>
            <w:r>
              <w:rPr>
                <w:rFonts w:ascii="Calibri" w:hAnsi="Calibri"/>
                <w:b w:val="0"/>
                <w:i w:val="0"/>
                <w:sz w:val="18"/>
              </w:rPr>
              <w:t>Cross-device</w:t>
            </w:r>
          </w:p>
        </w:tc>
      </w:tr>
    </w:tbl>
    <w:p>
      <w:pPr>
        <w:spacing w:before="0" w:after="40"/>
      </w:pPr>
    </w:p>
    <w:p>
      <w:pPr>
        <w:spacing w:before="0" w:after="120"/>
      </w:pPr>
      <w:r>
        <w:rPr>
          <w:rFonts w:ascii="Calibri" w:hAnsi="Calibri"/>
          <w:b/>
          <w:i w:val="0"/>
          <w:sz w:val="21"/>
        </w:rPr>
        <w:t>Implementation</w:t>
      </w:r>
      <w:r>
        <w:rPr>
          <w:rFonts w:ascii="Calibri" w:hAnsi="Calibri"/>
          <w:b w:val="0"/>
          <w:i w:val="0"/>
          <w:sz w:val="21"/>
        </w:rPr>
        <w:t>. PyTorch; AdamW (lr 1e-3, wd 1e-4), batch 64, up to 40 epochs, early stopping (patience 15, min delta 0.001) on validation phase PR-AUC, gradient clipping (max-norm 1.0); StratifiedGroupKFold(5, seed 42) grouped by measurement; seeds {42, 7, 2024} for stability. Metrics: PR-AUC primary (extreme imbalance), ROC-AUC, MCC, F1, ECE/Brier; per-fold mean primary protocol; paired cluster bootstrap (2,000, clustered by measurement) for significance; RTX 4060 Laptop GPU.</w:t>
      </w:r>
    </w:p>
    <w:p>
      <w:pPr>
        <w:keepNext/>
        <w:spacing w:before="200" w:after="120"/>
      </w:pPr>
      <w:r>
        <w:rPr>
          <w:rFonts w:ascii="Calibri" w:hAnsi="Calibri"/>
          <w:b/>
          <w:i w:val="0"/>
          <w:color w:val="1F4D78"/>
          <w:sz w:val="22"/>
        </w:rPr>
        <w:t>B. Main Results (VSB, 5-fold CV, per-fold mean)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val="clear" w:fill="F4F6F9"/>
          </w:tcPr>
          <w:p>
            <w:pPr>
              <w:spacing w:after="40" w:before="40"/>
            </w:pPr>
            <w:r/>
            <w:r>
              <w:rPr>
                <w:rFonts w:ascii="Calibri" w:hAnsi="Calibri"/>
                <w:b/>
                <w:i w:val="0"/>
                <w:sz w:val="18"/>
              </w:rPr>
              <w:t>Encoder</w:t>
            </w:r>
          </w:p>
        </w:tc>
        <w:tc>
          <w:tcPr>
            <w:tcW w:type="dxa" w:w="1872"/>
            <w:vAlign w:val="center"/>
            <w:shd w:val="clear" w:fill="F4F6F9"/>
          </w:tcPr>
          <w:p>
            <w:pPr>
              <w:spacing w:after="40" w:before="40"/>
            </w:pPr>
            <w:r/>
            <w:r>
              <w:rPr>
                <w:rFonts w:ascii="Calibri" w:hAnsi="Calibri"/>
                <w:b/>
                <w:i w:val="0"/>
                <w:sz w:val="18"/>
              </w:rPr>
              <w:t>Params (pipeline)</w:t>
            </w:r>
          </w:p>
        </w:tc>
        <w:tc>
          <w:tcPr>
            <w:tcW w:type="dxa" w:w="1872"/>
            <w:vAlign w:val="center"/>
            <w:shd w:val="clear" w:fill="F4F6F9"/>
          </w:tcPr>
          <w:p>
            <w:pPr>
              <w:spacing w:after="40" w:before="40"/>
            </w:pPr>
            <w:r/>
            <w:r>
              <w:rPr>
                <w:rFonts w:ascii="Calibri" w:hAnsi="Calibri"/>
                <w:b/>
                <w:i w:val="0"/>
                <w:sz w:val="18"/>
              </w:rPr>
              <w:t>Phase PR-AUC</w:t>
            </w:r>
          </w:p>
        </w:tc>
        <w:tc>
          <w:tcPr>
            <w:tcW w:type="dxa" w:w="1872"/>
            <w:vAlign w:val="center"/>
            <w:shd w:val="clear" w:fill="F4F6F9"/>
          </w:tcPr>
          <w:p>
            <w:pPr>
              <w:spacing w:after="40" w:before="40"/>
            </w:pPr>
            <w:r/>
            <w:r>
              <w:rPr>
                <w:rFonts w:ascii="Calibri" w:hAnsi="Calibri"/>
                <w:b/>
                <w:i w:val="0"/>
                <w:sz w:val="18"/>
              </w:rPr>
              <w:t>Meas PR-AUC</w:t>
            </w:r>
          </w:p>
        </w:tc>
        <w:tc>
          <w:tcPr>
            <w:tcW w:type="dxa" w:w="1872"/>
            <w:vAlign w:val="center"/>
            <w:shd w:val="clear" w:fill="F4F6F9"/>
          </w:tcPr>
          <w:p>
            <w:pPr>
              <w:spacing w:after="40" w:before="40"/>
            </w:pPr>
            <w:r/>
            <w:r>
              <w:rPr>
                <w:rFonts w:ascii="Calibri" w:hAnsi="Calibri"/>
                <w:b/>
                <w:i w:val="0"/>
                <w:sz w:val="18"/>
              </w:rPr>
              <w:t>Encoder fwd (8×8 batch, CPU)</w:t>
            </w:r>
          </w:p>
        </w:tc>
      </w:tr>
      <w:tr>
        <w:tc>
          <w:tcPr>
            <w:tcW w:type="dxa" w:w="1872"/>
            <w:vAlign w:val="center"/>
          </w:tcPr>
          <w:p>
            <w:pPr>
              <w:spacing w:after="40" w:before="40"/>
            </w:pPr>
            <w:r/>
            <w:r>
              <w:rPr>
                <w:rFonts w:ascii="Calibri" w:hAnsi="Calibri"/>
                <w:b w:val="0"/>
                <w:i w:val="0"/>
                <w:sz w:val="18"/>
              </w:rPr>
              <w:t>simple_cnn (baseline)</w:t>
            </w:r>
          </w:p>
        </w:tc>
        <w:tc>
          <w:tcPr>
            <w:tcW w:type="dxa" w:w="1872"/>
            <w:vAlign w:val="center"/>
          </w:tcPr>
          <w:p>
            <w:pPr>
              <w:spacing w:after="40" w:before="40"/>
            </w:pPr>
            <w:r/>
            <w:r>
              <w:rPr>
                <w:rFonts w:ascii="Calibri" w:hAnsi="Calibri"/>
                <w:b w:val="0"/>
                <w:i w:val="0"/>
                <w:sz w:val="18"/>
              </w:rPr>
              <w:t>113,265</w:t>
            </w:r>
          </w:p>
        </w:tc>
        <w:tc>
          <w:tcPr>
            <w:tcW w:type="dxa" w:w="1872"/>
            <w:vAlign w:val="center"/>
          </w:tcPr>
          <w:p>
            <w:pPr>
              <w:spacing w:after="40" w:before="40"/>
            </w:pPr>
            <w:r/>
            <w:r>
              <w:rPr>
                <w:rFonts w:ascii="Calibri" w:hAnsi="Calibri"/>
                <w:b w:val="0"/>
                <w:i w:val="0"/>
                <w:sz w:val="18"/>
              </w:rPr>
              <w:t>0.615 ± 0.053</w:t>
            </w:r>
          </w:p>
        </w:tc>
        <w:tc>
          <w:tcPr>
            <w:tcW w:type="dxa" w:w="1872"/>
            <w:vAlign w:val="center"/>
          </w:tcPr>
          <w:p>
            <w:pPr>
              <w:spacing w:after="40" w:before="40"/>
            </w:pPr>
            <w:r/>
            <w:r>
              <w:rPr>
                <w:rFonts w:ascii="Calibri" w:hAnsi="Calibri"/>
                <w:b w:val="0"/>
                <w:i w:val="0"/>
                <w:sz w:val="18"/>
              </w:rPr>
              <w:t>0.643</w:t>
            </w:r>
          </w:p>
        </w:tc>
        <w:tc>
          <w:tcPr>
            <w:tcW w:type="dxa" w:w="1872"/>
            <w:vAlign w:val="center"/>
          </w:tcPr>
          <w:p>
            <w:pPr>
              <w:spacing w:after="40" w:before="40"/>
            </w:pPr>
            <w:r/>
            <w:r>
              <w:rPr>
                <w:rFonts w:ascii="Calibri" w:hAnsi="Calibri"/>
                <w:b w:val="0"/>
                <w:i w:val="0"/>
                <w:sz w:val="18"/>
              </w:rPr>
              <w:t>63 ms</w:t>
            </w:r>
          </w:p>
        </w:tc>
      </w:tr>
      <w:tr>
        <w:tc>
          <w:tcPr>
            <w:tcW w:type="dxa" w:w="1872"/>
            <w:vAlign w:val="center"/>
          </w:tcPr>
          <w:p>
            <w:pPr>
              <w:spacing w:after="40" w:before="40"/>
            </w:pPr>
            <w:r/>
            <w:r>
              <w:rPr>
                <w:rFonts w:ascii="Calibri" w:hAnsi="Calibri"/>
                <w:b w:val="0"/>
                <w:i w:val="0"/>
                <w:sz w:val="18"/>
              </w:rPr>
              <w:t>**TFE (STFT+2D CNN)**</w:t>
            </w:r>
          </w:p>
        </w:tc>
        <w:tc>
          <w:tcPr>
            <w:tcW w:type="dxa" w:w="1872"/>
            <w:vAlign w:val="center"/>
          </w:tcPr>
          <w:p>
            <w:pPr>
              <w:spacing w:after="40" w:before="40"/>
            </w:pPr>
            <w:r/>
            <w:r>
              <w:rPr>
                <w:rFonts w:ascii="Calibri" w:hAnsi="Calibri"/>
                <w:b w:val="0"/>
                <w:i w:val="0"/>
                <w:sz w:val="18"/>
              </w:rPr>
              <w:t>167,394</w:t>
            </w:r>
          </w:p>
        </w:tc>
        <w:tc>
          <w:tcPr>
            <w:tcW w:type="dxa" w:w="1872"/>
            <w:vAlign w:val="center"/>
          </w:tcPr>
          <w:p>
            <w:pPr>
              <w:spacing w:after="40" w:before="40"/>
            </w:pPr>
            <w:r/>
            <w:r>
              <w:rPr>
                <w:rFonts w:ascii="Calibri" w:hAnsi="Calibri"/>
                <w:b w:val="0"/>
                <w:i w:val="0"/>
                <w:sz w:val="18"/>
              </w:rPr>
              <w:t>**0.703 ± 0.025**</w:t>
            </w:r>
          </w:p>
        </w:tc>
        <w:tc>
          <w:tcPr>
            <w:tcW w:type="dxa" w:w="1872"/>
            <w:vAlign w:val="center"/>
          </w:tcPr>
          <w:p>
            <w:pPr>
              <w:spacing w:after="40" w:before="40"/>
            </w:pPr>
            <w:r/>
            <w:r>
              <w:rPr>
                <w:rFonts w:ascii="Calibri" w:hAnsi="Calibri"/>
                <w:b w:val="0"/>
                <w:i w:val="0"/>
                <w:sz w:val="18"/>
              </w:rPr>
              <w:t>0.744</w:t>
            </w:r>
          </w:p>
        </w:tc>
        <w:tc>
          <w:tcPr>
            <w:tcW w:type="dxa" w:w="1872"/>
            <w:vAlign w:val="center"/>
          </w:tcPr>
          <w:p>
            <w:pPr>
              <w:spacing w:after="40" w:before="40"/>
            </w:pPr>
            <w:r/>
            <w:r>
              <w:rPr>
                <w:rFonts w:ascii="Calibri" w:hAnsi="Calibri"/>
                <w:b w:val="0"/>
                <w:i w:val="0"/>
                <w:sz w:val="18"/>
              </w:rPr>
              <w:t>542 ms</w:t>
            </w:r>
          </w:p>
        </w:tc>
      </w:tr>
      <w:tr>
        <w:tc>
          <w:tcPr>
            <w:tcW w:type="dxa" w:w="1872"/>
            <w:vAlign w:val="center"/>
          </w:tcPr>
          <w:p>
            <w:pPr>
              <w:spacing w:after="40" w:before="40"/>
            </w:pPr>
            <w:r/>
            <w:r>
              <w:rPr>
                <w:rFonts w:ascii="Calibri" w:hAnsi="Calibri"/>
                <w:b w:val="0"/>
                <w:i w:val="0"/>
                <w:sz w:val="18"/>
              </w:rPr>
              <w:t>LPT (patch Transformer)</w:t>
            </w:r>
          </w:p>
        </w:tc>
        <w:tc>
          <w:tcPr>
            <w:tcW w:type="dxa" w:w="1872"/>
            <w:vAlign w:val="center"/>
          </w:tcPr>
          <w:p>
            <w:pPr>
              <w:spacing w:after="40" w:before="40"/>
            </w:pPr>
            <w:r/>
            <w:r>
              <w:rPr>
                <w:rFonts w:ascii="Calibri" w:hAnsi="Calibri"/>
                <w:b w:val="0"/>
                <w:i w:val="0"/>
                <w:sz w:val="18"/>
              </w:rPr>
              <w:t>234,594</w:t>
            </w:r>
          </w:p>
        </w:tc>
        <w:tc>
          <w:tcPr>
            <w:tcW w:type="dxa" w:w="1872"/>
            <w:vAlign w:val="center"/>
          </w:tcPr>
          <w:p>
            <w:pPr>
              <w:spacing w:after="40" w:before="40"/>
            </w:pPr>
            <w:r/>
            <w:r>
              <w:rPr>
                <w:rFonts w:ascii="Calibri" w:hAnsi="Calibri"/>
                <w:b w:val="0"/>
                <w:i w:val="0"/>
                <w:sz w:val="18"/>
              </w:rPr>
              <w:t>0.588 ± 0.054</w:t>
            </w:r>
          </w:p>
        </w:tc>
        <w:tc>
          <w:tcPr>
            <w:tcW w:type="dxa" w:w="1872"/>
            <w:vAlign w:val="center"/>
          </w:tcPr>
          <w:p>
            <w:pPr>
              <w:spacing w:after="40" w:before="40"/>
            </w:pPr>
            <w:r/>
            <w:r>
              <w:rPr>
                <w:rFonts w:ascii="Calibri" w:hAnsi="Calibri"/>
                <w:b w:val="0"/>
                <w:i w:val="0"/>
                <w:sz w:val="18"/>
              </w:rPr>
              <w:t>0.621</w:t>
            </w:r>
          </w:p>
        </w:tc>
        <w:tc>
          <w:tcPr>
            <w:tcW w:type="dxa" w:w="1872"/>
            <w:vAlign w:val="center"/>
          </w:tcPr>
          <w:p>
            <w:pPr>
              <w:spacing w:after="40" w:before="40"/>
            </w:pPr>
            <w:r/>
            <w:r>
              <w:rPr>
                <w:rFonts w:ascii="Calibri" w:hAnsi="Calibri"/>
                <w:b w:val="0"/>
                <w:i w:val="0"/>
                <w:sz w:val="18"/>
              </w:rPr>
              <w:t>424 ms</w:t>
            </w:r>
          </w:p>
        </w:tc>
      </w:tr>
    </w:tbl>
    <w:p>
      <w:pPr>
        <w:spacing w:before="0" w:after="40"/>
      </w:pPr>
    </w:p>
    <w:p>
      <w:pPr>
        <w:spacing w:before="0" w:after="120"/>
      </w:pPr>
      <w:r>
        <w:rPr>
          <w:rFonts w:ascii="Calibri" w:hAnsi="Calibri"/>
          <w:b/>
          <w:i w:val="0"/>
          <w:sz w:val="21"/>
        </w:rPr>
        <w:t>TFE</w:t>
      </w:r>
      <w:r>
        <w:rPr>
          <w:rFonts w:ascii="Calibri" w:hAnsi="Calibri"/>
          <w:b w:val="0"/>
          <w:i w:val="0"/>
          <w:sz w:val="21"/>
        </w:rPr>
        <w:t xml:space="preserve"> significantly outperforms the baseline (+0.088 phase PR-AUC; paired cluster bootstrap on development OOF, 95% CI excludes 0) with only 1.5× parameters—time-frequency representation is the key encoder property for PD transient structure. </w:t>
      </w:r>
      <w:r>
        <w:rPr>
          <w:rFonts w:ascii="Calibri" w:hAnsi="Calibri"/>
          <w:b/>
          <w:i w:val="0"/>
          <w:sz w:val="21"/>
        </w:rPr>
        <w:t>Explicit efficiency trade-off</w:t>
      </w:r>
      <w:r>
        <w:rPr>
          <w:rFonts w:ascii="Calibri" w:hAnsi="Calibri"/>
          <w:b w:val="0"/>
          <w:i w:val="0"/>
          <w:sz w:val="21"/>
        </w:rPr>
        <w:t>: TFE's STFT front end costs ≈8.6× the CNN forward time on CPU; edge GPU deployment mitigates this (Discussion).</w:t>
      </w:r>
    </w:p>
    <w:p>
      <w:pPr>
        <w:spacing w:before="0" w:after="120"/>
      </w:pPr>
      <w:r>
        <w:rPr>
          <w:rFonts w:ascii="Calibri" w:hAnsi="Calibri"/>
          <w:b/>
          <w:i w:val="0"/>
          <w:sz w:val="21"/>
        </w:rPr>
        <w:t>Cross-encoder statistics</w:t>
      </w:r>
      <w:r>
        <w:rPr>
          <w:rFonts w:ascii="Calibri" w:hAnsi="Calibri"/>
          <w:b w:val="0"/>
          <w:i w:val="0"/>
          <w:sz w:val="21"/>
        </w:rPr>
        <w:t xml:space="preserve"> (paired bootstrap, seed 42): TFE vs simple_cnn phase difference +0.088 (95% CI excludes 0); LPT vs simple_cnn −0.027 (CI contains 0); TFE vs LPT +0.115 (CI excludes 0). Three-seed means confirm: TFE 0.70 ± 0.01 across seeds {42, 7, 2024}.</w:t>
      </w:r>
    </w:p>
    <w:p>
      <w:pPr>
        <w:keepNext/>
        <w:spacing w:before="200" w:after="120"/>
      </w:pPr>
      <w:r>
        <w:rPr>
          <w:rFonts w:ascii="Calibri" w:hAnsi="Calibri"/>
          <w:b/>
          <w:i w:val="0"/>
          <w:color w:val="1F4D78"/>
          <w:sz w:val="22"/>
        </w:rPr>
        <w:t>C. Sensing-Cost Optimization (Sampling Rate)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val="clear" w:fill="F4F6F9"/>
          </w:tcPr>
          <w:p>
            <w:pPr>
              <w:spacing w:after="40" w:before="40"/>
            </w:pPr>
            <w:r/>
            <w:r>
              <w:rPr>
                <w:rFonts w:ascii="Calibri" w:hAnsi="Calibri"/>
                <w:b/>
                <w:i w:val="0"/>
                <w:sz w:val="18"/>
              </w:rPr>
              <w:t>Rate</w:t>
            </w:r>
          </w:p>
        </w:tc>
        <w:tc>
          <w:tcPr>
            <w:tcW w:type="dxa" w:w="1872"/>
            <w:vAlign w:val="center"/>
            <w:shd w:val="clear" w:fill="F4F6F9"/>
          </w:tcPr>
          <w:p>
            <w:pPr>
              <w:spacing w:after="40" w:before="40"/>
            </w:pPr>
            <w:r/>
            <w:r>
              <w:rPr>
                <w:rFonts w:ascii="Calibri" w:hAnsi="Calibri"/>
                <w:b/>
                <w:i w:val="0"/>
                <w:sz w:val="18"/>
              </w:rPr>
              <w:t>Data volume</w:t>
            </w:r>
          </w:p>
        </w:tc>
        <w:tc>
          <w:tcPr>
            <w:tcW w:type="dxa" w:w="1872"/>
            <w:vAlign w:val="center"/>
            <w:shd w:val="clear" w:fill="F4F6F9"/>
          </w:tcPr>
          <w:p>
            <w:pPr>
              <w:spacing w:after="40" w:before="40"/>
            </w:pPr>
            <w:r/>
            <w:r>
              <w:rPr>
                <w:rFonts w:ascii="Calibri" w:hAnsi="Calibri"/>
                <w:b/>
                <w:i w:val="0"/>
                <w:sz w:val="18"/>
              </w:rPr>
              <w:t>Phase PR-AUC</w:t>
            </w:r>
          </w:p>
        </w:tc>
        <w:tc>
          <w:tcPr>
            <w:tcW w:type="dxa" w:w="1872"/>
            <w:vAlign w:val="center"/>
            <w:shd w:val="clear" w:fill="F4F6F9"/>
          </w:tcPr>
          <w:p>
            <w:pPr>
              <w:spacing w:after="40" w:before="40"/>
            </w:pPr>
            <w:r/>
            <w:r>
              <w:rPr>
                <w:rFonts w:ascii="Calibri" w:hAnsi="Calibri"/>
                <w:b/>
                <w:i w:val="0"/>
                <w:sz w:val="18"/>
              </w:rPr>
              <w:t>Meas PR-AUC</w:t>
            </w:r>
          </w:p>
        </w:tc>
        <w:tc>
          <w:tcPr>
            <w:tcW w:type="dxa" w:w="1872"/>
            <w:vAlign w:val="center"/>
            <w:shd w:val="clear" w:fill="F4F6F9"/>
          </w:tcPr>
          <w:p>
            <w:pPr>
              <w:spacing w:after="40" w:before="40"/>
            </w:pPr>
            <w:r/>
            <w:r>
              <w:rPr>
                <w:rFonts w:ascii="Calibri" w:hAnsi="Calibri"/>
                <w:b/>
                <w:i w:val="0"/>
                <w:sz w:val="18"/>
              </w:rPr>
              <w:t>Retained</w:t>
            </w:r>
          </w:p>
        </w:tc>
      </w:tr>
      <w:tr>
        <w:tc>
          <w:tcPr>
            <w:tcW w:type="dxa" w:w="1872"/>
            <w:vAlign w:val="center"/>
          </w:tcPr>
          <w:p>
            <w:pPr>
              <w:spacing w:after="40" w:before="40"/>
            </w:pPr>
            <w:r/>
            <w:r>
              <w:rPr>
                <w:rFonts w:ascii="Calibri" w:hAnsi="Calibri"/>
                <w:b w:val="0"/>
                <w:i w:val="0"/>
                <w:sz w:val="18"/>
              </w:rPr>
              <w:t>40 MHz</w:t>
            </w:r>
          </w:p>
        </w:tc>
        <w:tc>
          <w:tcPr>
            <w:tcW w:type="dxa" w:w="1872"/>
            <w:vAlign w:val="center"/>
          </w:tcPr>
          <w:p>
            <w:pPr>
              <w:spacing w:after="40" w:before="40"/>
            </w:pPr>
            <w:r/>
            <w:r>
              <w:rPr>
                <w:rFonts w:ascii="Calibri" w:hAnsi="Calibri"/>
                <w:b w:val="0"/>
                <w:i w:val="0"/>
                <w:sz w:val="18"/>
              </w:rPr>
              <w:t>1×</w:t>
            </w:r>
          </w:p>
        </w:tc>
        <w:tc>
          <w:tcPr>
            <w:tcW w:type="dxa" w:w="1872"/>
            <w:vAlign w:val="center"/>
          </w:tcPr>
          <w:p>
            <w:pPr>
              <w:spacing w:after="40" w:before="40"/>
            </w:pPr>
            <w:r/>
            <w:r>
              <w:rPr>
                <w:rFonts w:ascii="Calibri" w:hAnsi="Calibri"/>
                <w:b w:val="0"/>
                <w:i w:val="0"/>
                <w:sz w:val="18"/>
              </w:rPr>
              <w:t>0.617</w:t>
            </w:r>
          </w:p>
        </w:tc>
        <w:tc>
          <w:tcPr>
            <w:tcW w:type="dxa" w:w="1872"/>
            <w:vAlign w:val="center"/>
          </w:tcPr>
          <w:p>
            <w:pPr>
              <w:spacing w:after="40" w:before="40"/>
            </w:pPr>
            <w:r/>
            <w:r>
              <w:rPr>
                <w:rFonts w:ascii="Calibri" w:hAnsi="Calibri"/>
                <w:b w:val="0"/>
                <w:i w:val="0"/>
                <w:sz w:val="18"/>
              </w:rPr>
              <w:t>0.629</w:t>
            </w:r>
          </w:p>
        </w:tc>
        <w:tc>
          <w:tcPr>
            <w:tcW w:type="dxa" w:w="1872"/>
            <w:vAlign w:val="center"/>
          </w:tcPr>
          <w:p>
            <w:pPr>
              <w:spacing w:after="40" w:before="40"/>
            </w:pPr>
            <w:r/>
            <w:r>
              <w:rPr>
                <w:rFonts w:ascii="Calibri" w:hAnsi="Calibri"/>
                <w:b w:val="0"/>
                <w:i w:val="0"/>
                <w:sz w:val="18"/>
              </w:rPr>
              <w:t>100%</w:t>
            </w:r>
          </w:p>
        </w:tc>
      </w:tr>
      <w:tr>
        <w:tc>
          <w:tcPr>
            <w:tcW w:type="dxa" w:w="1872"/>
            <w:vAlign w:val="center"/>
          </w:tcPr>
          <w:p>
            <w:pPr>
              <w:spacing w:after="40" w:before="40"/>
            </w:pPr>
            <w:r/>
            <w:r>
              <w:rPr>
                <w:rFonts w:ascii="Calibri" w:hAnsi="Calibri"/>
                <w:b w:val="0"/>
                <w:i w:val="0"/>
                <w:sz w:val="18"/>
              </w:rPr>
              <w:t>20 MHz</w:t>
            </w:r>
          </w:p>
        </w:tc>
        <w:tc>
          <w:tcPr>
            <w:tcW w:type="dxa" w:w="1872"/>
            <w:vAlign w:val="center"/>
          </w:tcPr>
          <w:p>
            <w:pPr>
              <w:spacing w:after="40" w:before="40"/>
            </w:pPr>
            <w:r/>
            <w:r>
              <w:rPr>
                <w:rFonts w:ascii="Calibri" w:hAnsi="Calibri"/>
                <w:b w:val="0"/>
                <w:i w:val="0"/>
                <w:sz w:val="18"/>
              </w:rPr>
              <w:t>1/2</w:t>
            </w:r>
          </w:p>
        </w:tc>
        <w:tc>
          <w:tcPr>
            <w:tcW w:type="dxa" w:w="1872"/>
            <w:vAlign w:val="center"/>
          </w:tcPr>
          <w:p>
            <w:pPr>
              <w:spacing w:after="40" w:before="40"/>
            </w:pPr>
            <w:r/>
            <w:r>
              <w:rPr>
                <w:rFonts w:ascii="Calibri" w:hAnsi="Calibri"/>
                <w:b w:val="0"/>
                <w:i w:val="0"/>
                <w:sz w:val="18"/>
              </w:rPr>
              <w:t>0.569</w:t>
            </w:r>
          </w:p>
        </w:tc>
        <w:tc>
          <w:tcPr>
            <w:tcW w:type="dxa" w:w="1872"/>
            <w:vAlign w:val="center"/>
          </w:tcPr>
          <w:p>
            <w:pPr>
              <w:spacing w:after="40" w:before="40"/>
            </w:pPr>
            <w:r/>
            <w:r>
              <w:rPr>
                <w:rFonts w:ascii="Calibri" w:hAnsi="Calibri"/>
                <w:b w:val="0"/>
                <w:i w:val="0"/>
                <w:sz w:val="18"/>
              </w:rPr>
              <w:t>0.588</w:t>
            </w:r>
          </w:p>
        </w:tc>
        <w:tc>
          <w:tcPr>
            <w:tcW w:type="dxa" w:w="1872"/>
            <w:vAlign w:val="center"/>
          </w:tcPr>
          <w:p>
            <w:pPr>
              <w:spacing w:after="40" w:before="40"/>
            </w:pPr>
            <w:r/>
            <w:r>
              <w:rPr>
                <w:rFonts w:ascii="Calibri" w:hAnsi="Calibri"/>
                <w:b w:val="0"/>
                <w:i w:val="0"/>
                <w:sz w:val="18"/>
              </w:rPr>
              <w:t>92%</w:t>
            </w:r>
          </w:p>
        </w:tc>
      </w:tr>
      <w:tr>
        <w:tc>
          <w:tcPr>
            <w:tcW w:type="dxa" w:w="1872"/>
            <w:vAlign w:val="center"/>
          </w:tcPr>
          <w:p>
            <w:pPr>
              <w:spacing w:after="40" w:before="40"/>
            </w:pPr>
            <w:r/>
            <w:r>
              <w:rPr>
                <w:rFonts w:ascii="Calibri" w:hAnsi="Calibri"/>
                <w:b w:val="0"/>
                <w:i w:val="0"/>
                <w:sz w:val="18"/>
              </w:rPr>
              <w:t>10 MHz</w:t>
            </w:r>
          </w:p>
        </w:tc>
        <w:tc>
          <w:tcPr>
            <w:tcW w:type="dxa" w:w="1872"/>
            <w:vAlign w:val="center"/>
          </w:tcPr>
          <w:p>
            <w:pPr>
              <w:spacing w:after="40" w:before="40"/>
            </w:pPr>
            <w:r/>
            <w:r>
              <w:rPr>
                <w:rFonts w:ascii="Calibri" w:hAnsi="Calibri"/>
                <w:b w:val="0"/>
                <w:i w:val="0"/>
                <w:sz w:val="18"/>
              </w:rPr>
              <w:t>1/4</w:t>
            </w:r>
          </w:p>
        </w:tc>
        <w:tc>
          <w:tcPr>
            <w:tcW w:type="dxa" w:w="1872"/>
            <w:vAlign w:val="center"/>
          </w:tcPr>
          <w:p>
            <w:pPr>
              <w:spacing w:after="40" w:before="40"/>
            </w:pPr>
            <w:r/>
            <w:r>
              <w:rPr>
                <w:rFonts w:ascii="Calibri" w:hAnsi="Calibri"/>
                <w:b w:val="0"/>
                <w:i w:val="0"/>
                <w:sz w:val="18"/>
              </w:rPr>
              <w:t>0.518</w:t>
            </w:r>
          </w:p>
        </w:tc>
        <w:tc>
          <w:tcPr>
            <w:tcW w:type="dxa" w:w="1872"/>
            <w:vAlign w:val="center"/>
          </w:tcPr>
          <w:p>
            <w:pPr>
              <w:spacing w:after="40" w:before="40"/>
            </w:pPr>
            <w:r/>
            <w:r>
              <w:rPr>
                <w:rFonts w:ascii="Calibri" w:hAnsi="Calibri"/>
                <w:b w:val="0"/>
                <w:i w:val="0"/>
                <w:sz w:val="18"/>
              </w:rPr>
              <w:t>0.551</w:t>
            </w:r>
          </w:p>
        </w:tc>
        <w:tc>
          <w:tcPr>
            <w:tcW w:type="dxa" w:w="1872"/>
            <w:vAlign w:val="center"/>
          </w:tcPr>
          <w:p>
            <w:pPr>
              <w:spacing w:after="40" w:before="40"/>
            </w:pPr>
            <w:r/>
            <w:r>
              <w:rPr>
                <w:rFonts w:ascii="Calibri" w:hAnsi="Calibri"/>
                <w:b w:val="0"/>
                <w:i w:val="0"/>
                <w:sz w:val="18"/>
              </w:rPr>
              <w:t>84%</w:t>
            </w:r>
          </w:p>
        </w:tc>
      </w:tr>
      <w:tr>
        <w:tc>
          <w:tcPr>
            <w:tcW w:type="dxa" w:w="1872"/>
            <w:vAlign w:val="center"/>
          </w:tcPr>
          <w:p>
            <w:pPr>
              <w:spacing w:after="40" w:before="40"/>
            </w:pPr>
            <w:r/>
            <w:r>
              <w:rPr>
                <w:rFonts w:ascii="Calibri" w:hAnsi="Calibri"/>
                <w:b w:val="0"/>
                <w:i w:val="0"/>
                <w:sz w:val="18"/>
              </w:rPr>
              <w:t>5 MHz</w:t>
            </w:r>
          </w:p>
        </w:tc>
        <w:tc>
          <w:tcPr>
            <w:tcW w:type="dxa" w:w="1872"/>
            <w:vAlign w:val="center"/>
          </w:tcPr>
          <w:p>
            <w:pPr>
              <w:spacing w:after="40" w:before="40"/>
            </w:pPr>
            <w:r/>
            <w:r>
              <w:rPr>
                <w:rFonts w:ascii="Calibri" w:hAnsi="Calibri"/>
                <w:b w:val="0"/>
                <w:i w:val="0"/>
                <w:sz w:val="18"/>
              </w:rPr>
              <w:t>1/8</w:t>
            </w:r>
          </w:p>
        </w:tc>
        <w:tc>
          <w:tcPr>
            <w:tcW w:type="dxa" w:w="1872"/>
            <w:vAlign w:val="center"/>
          </w:tcPr>
          <w:p>
            <w:pPr>
              <w:spacing w:after="40" w:before="40"/>
            </w:pPr>
            <w:r/>
            <w:r>
              <w:rPr>
                <w:rFonts w:ascii="Calibri" w:hAnsi="Calibri"/>
                <w:b w:val="0"/>
                <w:i w:val="0"/>
                <w:sz w:val="18"/>
              </w:rPr>
              <w:t>0.510</w:t>
            </w:r>
          </w:p>
        </w:tc>
        <w:tc>
          <w:tcPr>
            <w:tcW w:type="dxa" w:w="1872"/>
            <w:vAlign w:val="center"/>
          </w:tcPr>
          <w:p>
            <w:pPr>
              <w:spacing w:after="40" w:before="40"/>
            </w:pPr>
            <w:r/>
            <w:r>
              <w:rPr>
                <w:rFonts w:ascii="Calibri" w:hAnsi="Calibri"/>
                <w:b w:val="0"/>
                <w:i w:val="0"/>
                <w:sz w:val="18"/>
              </w:rPr>
              <w:t>0.535</w:t>
            </w:r>
          </w:p>
        </w:tc>
        <w:tc>
          <w:tcPr>
            <w:tcW w:type="dxa" w:w="1872"/>
            <w:vAlign w:val="center"/>
          </w:tcPr>
          <w:p>
            <w:pPr>
              <w:spacing w:after="40" w:before="40"/>
            </w:pPr>
            <w:r/>
            <w:r>
              <w:rPr>
                <w:rFonts w:ascii="Calibri" w:hAnsi="Calibri"/>
                <w:b w:val="0"/>
                <w:i w:val="0"/>
                <w:sz w:val="18"/>
              </w:rPr>
              <w:t>83%</w:t>
            </w:r>
          </w:p>
        </w:tc>
      </w:tr>
    </w:tbl>
    <w:p>
      <w:pPr>
        <w:spacing w:before="0" w:after="40"/>
      </w:pPr>
    </w:p>
    <w:p>
      <w:pPr>
        <w:spacing w:before="0" w:after="120"/>
      </w:pPr>
      <w:r>
        <w:rPr>
          <w:rFonts w:ascii="Calibri" w:hAnsi="Calibri"/>
          <w:b/>
          <w:i w:val="0"/>
          <w:sz w:val="21"/>
        </w:rPr>
        <w:t>8× sensing-cost reduction at 83% retained performance</w:t>
      </w:r>
      <w:r>
        <w:rPr>
          <w:rFonts w:ascii="Calibri" w:hAnsi="Calibri"/>
          <w:b w:val="0"/>
          <w:i w:val="0"/>
          <w:sz w:val="21"/>
        </w:rPr>
        <w:t>—a direct hardware design guideline (ADC rate, storage, transmission budget). The 40 MHz row (0.617) matches the mainline (0.615) within noise, validating the protocol.</w:t>
      </w:r>
    </w:p>
    <w:p>
      <w:pPr>
        <w:keepNext/>
        <w:spacing w:before="200" w:after="120"/>
      </w:pPr>
      <w:r>
        <w:rPr>
          <w:rFonts w:ascii="Calibri" w:hAnsi="Calibri"/>
          <w:b/>
          <w:i w:val="0"/>
          <w:color w:val="1F4D78"/>
          <w:sz w:val="22"/>
        </w:rPr>
        <w:t>D. Labeling-Cost Quantification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val="clear" w:fill="F4F6F9"/>
          </w:tcPr>
          <w:p>
            <w:pPr>
              <w:spacing w:after="40" w:before="40"/>
            </w:pPr>
            <w:r/>
            <w:r>
              <w:rPr>
                <w:rFonts w:ascii="Calibri" w:hAnsi="Calibri"/>
                <w:b/>
                <w:i w:val="0"/>
                <w:sz w:val="18"/>
              </w:rPr>
              <w:t>Labels</w:t>
            </w:r>
          </w:p>
        </w:tc>
        <w:tc>
          <w:tcPr>
            <w:tcW w:type="dxa" w:w="3120"/>
            <w:vAlign w:val="center"/>
            <w:shd w:val="clear" w:fill="F4F6F9"/>
          </w:tcPr>
          <w:p>
            <w:pPr>
              <w:spacing w:after="40" w:before="40"/>
            </w:pPr>
            <w:r/>
            <w:r>
              <w:rPr>
                <w:rFonts w:ascii="Calibri" w:hAnsi="Calibri"/>
                <w:b/>
                <w:i w:val="0"/>
                <w:sz w:val="18"/>
              </w:rPr>
              <w:t>Phase PR-AUC</w:t>
            </w:r>
          </w:p>
        </w:tc>
        <w:tc>
          <w:tcPr>
            <w:tcW w:type="dxa" w:w="3120"/>
            <w:vAlign w:val="center"/>
            <w:shd w:val="clear" w:fill="F4F6F9"/>
          </w:tcPr>
          <w:p>
            <w:pPr>
              <w:spacing w:after="40" w:before="40"/>
            </w:pPr>
            <w:r/>
            <w:r>
              <w:rPr>
                <w:rFonts w:ascii="Calibri" w:hAnsi="Calibri"/>
                <w:b/>
                <w:i w:val="0"/>
                <w:sz w:val="18"/>
              </w:rPr>
              <w:t>vs 100%</w:t>
            </w:r>
          </w:p>
        </w:tc>
      </w:tr>
      <w:tr>
        <w:tc>
          <w:tcPr>
            <w:tcW w:type="dxa" w:w="3120"/>
            <w:vAlign w:val="center"/>
          </w:tcPr>
          <w:p>
            <w:pPr>
              <w:spacing w:after="40" w:before="40"/>
            </w:pPr>
            <w:r/>
            <w:r>
              <w:rPr>
                <w:rFonts w:ascii="Calibri" w:hAnsi="Calibri"/>
                <w:b w:val="0"/>
                <w:i w:val="0"/>
                <w:sz w:val="18"/>
              </w:rPr>
              <w:t>5%</w:t>
            </w:r>
          </w:p>
        </w:tc>
        <w:tc>
          <w:tcPr>
            <w:tcW w:type="dxa" w:w="3120"/>
            <w:vAlign w:val="center"/>
          </w:tcPr>
          <w:p>
            <w:pPr>
              <w:spacing w:after="40" w:before="40"/>
            </w:pPr>
            <w:r/>
            <w:r>
              <w:rPr>
                <w:rFonts w:ascii="Calibri" w:hAnsi="Calibri"/>
                <w:b w:val="0"/>
                <w:i w:val="0"/>
                <w:sz w:val="18"/>
              </w:rPr>
              <w:t>0.272</w:t>
            </w:r>
          </w:p>
        </w:tc>
        <w:tc>
          <w:tcPr>
            <w:tcW w:type="dxa" w:w="3120"/>
            <w:vAlign w:val="center"/>
          </w:tcPr>
          <w:p>
            <w:pPr>
              <w:spacing w:after="40" w:before="40"/>
            </w:pPr>
            <w:r/>
            <w:r>
              <w:rPr>
                <w:rFonts w:ascii="Calibri" w:hAnsi="Calibri"/>
                <w:b w:val="0"/>
                <w:i w:val="0"/>
                <w:sz w:val="18"/>
              </w:rPr>
              <w:t>44%</w:t>
            </w:r>
          </w:p>
        </w:tc>
      </w:tr>
      <w:tr>
        <w:tc>
          <w:tcPr>
            <w:tcW w:type="dxa" w:w="3120"/>
            <w:vAlign w:val="center"/>
          </w:tcPr>
          <w:p>
            <w:pPr>
              <w:spacing w:after="40" w:before="40"/>
            </w:pPr>
            <w:r/>
            <w:r>
              <w:rPr>
                <w:rFonts w:ascii="Calibri" w:hAnsi="Calibri"/>
                <w:b w:val="0"/>
                <w:i w:val="0"/>
                <w:sz w:val="18"/>
              </w:rPr>
              <w:t>10%</w:t>
            </w:r>
          </w:p>
        </w:tc>
        <w:tc>
          <w:tcPr>
            <w:tcW w:type="dxa" w:w="3120"/>
            <w:vAlign w:val="center"/>
          </w:tcPr>
          <w:p>
            <w:pPr>
              <w:spacing w:after="40" w:before="40"/>
            </w:pPr>
            <w:r/>
            <w:r>
              <w:rPr>
                <w:rFonts w:ascii="Calibri" w:hAnsi="Calibri"/>
                <w:b w:val="0"/>
                <w:i w:val="0"/>
                <w:sz w:val="18"/>
              </w:rPr>
              <w:t>0.346</w:t>
            </w:r>
          </w:p>
        </w:tc>
        <w:tc>
          <w:tcPr>
            <w:tcW w:type="dxa" w:w="3120"/>
            <w:vAlign w:val="center"/>
          </w:tcPr>
          <w:p>
            <w:pPr>
              <w:spacing w:after="40" w:before="40"/>
            </w:pPr>
            <w:r/>
            <w:r>
              <w:rPr>
                <w:rFonts w:ascii="Calibri" w:hAnsi="Calibri"/>
                <w:b w:val="0"/>
                <w:i w:val="0"/>
                <w:sz w:val="18"/>
              </w:rPr>
              <w:t>56%</w:t>
            </w:r>
          </w:p>
        </w:tc>
      </w:tr>
      <w:tr>
        <w:tc>
          <w:tcPr>
            <w:tcW w:type="dxa" w:w="3120"/>
            <w:vAlign w:val="center"/>
          </w:tcPr>
          <w:p>
            <w:pPr>
              <w:spacing w:after="40" w:before="40"/>
            </w:pPr>
            <w:r/>
            <w:r>
              <w:rPr>
                <w:rFonts w:ascii="Calibri" w:hAnsi="Calibri"/>
                <w:b w:val="0"/>
                <w:i w:val="0"/>
                <w:sz w:val="18"/>
              </w:rPr>
              <w:t>20%</w:t>
            </w:r>
          </w:p>
        </w:tc>
        <w:tc>
          <w:tcPr>
            <w:tcW w:type="dxa" w:w="3120"/>
            <w:vAlign w:val="center"/>
          </w:tcPr>
          <w:p>
            <w:pPr>
              <w:spacing w:after="40" w:before="40"/>
            </w:pPr>
            <w:r/>
            <w:r>
              <w:rPr>
                <w:rFonts w:ascii="Calibri" w:hAnsi="Calibri"/>
                <w:b w:val="0"/>
                <w:i w:val="0"/>
                <w:sz w:val="18"/>
              </w:rPr>
              <w:t>0.377 ± 0.021 (3 label seeds)</w:t>
            </w:r>
          </w:p>
        </w:tc>
        <w:tc>
          <w:tcPr>
            <w:tcW w:type="dxa" w:w="3120"/>
            <w:vAlign w:val="center"/>
          </w:tcPr>
          <w:p>
            <w:pPr>
              <w:spacing w:after="40" w:before="40"/>
            </w:pPr>
            <w:r/>
            <w:r>
              <w:rPr>
                <w:rFonts w:ascii="Calibri" w:hAnsi="Calibri"/>
                <w:b w:val="0"/>
                <w:i w:val="0"/>
                <w:sz w:val="18"/>
              </w:rPr>
              <w:t>61%</w:t>
            </w:r>
          </w:p>
        </w:tc>
      </w:tr>
      <w:tr>
        <w:tc>
          <w:tcPr>
            <w:tcW w:type="dxa" w:w="3120"/>
            <w:vAlign w:val="center"/>
          </w:tcPr>
          <w:p>
            <w:pPr>
              <w:spacing w:after="40" w:before="40"/>
            </w:pPr>
            <w:r/>
            <w:r>
              <w:rPr>
                <w:rFonts w:ascii="Calibri" w:hAnsi="Calibri"/>
                <w:b w:val="0"/>
                <w:i w:val="0"/>
                <w:sz w:val="18"/>
              </w:rPr>
              <w:t>50%</w:t>
            </w:r>
          </w:p>
        </w:tc>
        <w:tc>
          <w:tcPr>
            <w:tcW w:type="dxa" w:w="3120"/>
            <w:vAlign w:val="center"/>
          </w:tcPr>
          <w:p>
            <w:pPr>
              <w:spacing w:after="40" w:before="40"/>
            </w:pPr>
            <w:r/>
            <w:r>
              <w:rPr>
                <w:rFonts w:ascii="Calibri" w:hAnsi="Calibri"/>
                <w:b w:val="0"/>
                <w:i w:val="0"/>
                <w:sz w:val="18"/>
              </w:rPr>
              <w:t>0.542</w:t>
            </w:r>
          </w:p>
        </w:tc>
        <w:tc>
          <w:tcPr>
            <w:tcW w:type="dxa" w:w="3120"/>
            <w:vAlign w:val="center"/>
          </w:tcPr>
          <w:p>
            <w:pPr>
              <w:spacing w:after="40" w:before="40"/>
            </w:pPr>
            <w:r/>
            <w:r>
              <w:rPr>
                <w:rFonts w:ascii="Calibri" w:hAnsi="Calibri"/>
                <w:b w:val="0"/>
                <w:i w:val="0"/>
                <w:sz w:val="18"/>
              </w:rPr>
              <w:t>**88%**</w:t>
            </w:r>
          </w:p>
        </w:tc>
      </w:tr>
      <w:tr>
        <w:tc>
          <w:tcPr>
            <w:tcW w:type="dxa" w:w="3120"/>
            <w:vAlign w:val="center"/>
          </w:tcPr>
          <w:p>
            <w:pPr>
              <w:spacing w:after="40" w:before="40"/>
            </w:pPr>
            <w:r/>
            <w:r>
              <w:rPr>
                <w:rFonts w:ascii="Calibri" w:hAnsi="Calibri"/>
                <w:b w:val="0"/>
                <w:i w:val="0"/>
                <w:sz w:val="18"/>
              </w:rPr>
              <w:t>100%</w:t>
            </w:r>
          </w:p>
        </w:tc>
        <w:tc>
          <w:tcPr>
            <w:tcW w:type="dxa" w:w="3120"/>
            <w:vAlign w:val="center"/>
          </w:tcPr>
          <w:p>
            <w:pPr>
              <w:spacing w:after="40" w:before="40"/>
            </w:pPr>
            <w:r/>
            <w:r>
              <w:rPr>
                <w:rFonts w:ascii="Calibri" w:hAnsi="Calibri"/>
                <w:b w:val="0"/>
                <w:i w:val="0"/>
                <w:sz w:val="18"/>
              </w:rPr>
              <w:t>0.615</w:t>
            </w:r>
          </w:p>
        </w:tc>
        <w:tc>
          <w:tcPr>
            <w:tcW w:type="dxa" w:w="3120"/>
            <w:vAlign w:val="center"/>
          </w:tcPr>
          <w:p>
            <w:pPr>
              <w:spacing w:after="40" w:before="40"/>
            </w:pPr>
            <w:r/>
            <w:r>
              <w:rPr>
                <w:rFonts w:ascii="Calibri" w:hAnsi="Calibri"/>
                <w:b w:val="0"/>
                <w:i w:val="0"/>
                <w:sz w:val="18"/>
              </w:rPr>
              <w:t>100%</w:t>
            </w:r>
          </w:p>
        </w:tc>
      </w:tr>
    </w:tbl>
    <w:p>
      <w:pPr>
        <w:spacing w:before="0" w:after="40"/>
      </w:pPr>
    </w:p>
    <w:p>
      <w:pPr>
        <w:spacing w:before="0" w:after="120"/>
      </w:pPr>
      <w:r>
        <w:rPr>
          <w:rFonts w:ascii="Calibri" w:hAnsi="Calibri"/>
          <w:b/>
          <w:i w:val="0"/>
          <w:sz w:val="21"/>
        </w:rPr>
        <w:t>Self-supervised (VICReg) negative result</w:t>
      </w:r>
      <w:r>
        <w:rPr>
          <w:rFonts w:ascii="Calibri" w:hAnsi="Calibri"/>
          <w:b w:val="0"/>
          <w:i w:val="0"/>
          <w:sz w:val="21"/>
        </w:rPr>
        <w:t>: pretraining did not improve low-label fine-tuning (5%: 0.202 vs 0.272; 10%: 0.285 vs 0.346; 20%: 0.361 vs 0.377)—window-level self-supervised representations misalign with the phase-level weakly supervised task; honest reporting refines when self-supervision helps. VICReg details: 40-epoch pretraining on all development windows, 4 augmentations (time shift ±128, amplitude 0.9–1.1, noise 20–40 dB, frequency masking), variance/invariance/covariance loss (25/25/1).</w:t>
      </w:r>
    </w:p>
    <w:p>
      <w:pPr>
        <w:keepNext/>
        <w:spacing w:before="200" w:after="120"/>
      </w:pPr>
      <w:r>
        <w:rPr>
          <w:rFonts w:ascii="Calibri" w:hAnsi="Calibri"/>
          <w:b/>
          <w:i w:val="0"/>
          <w:color w:val="1F4D78"/>
          <w:sz w:val="22"/>
        </w:rPr>
        <w:t>E. External Multi-Dataset Validation (figshare 24033225)</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val="clear" w:fill="F4F6F9"/>
          </w:tcPr>
          <w:p>
            <w:pPr>
              <w:spacing w:after="40" w:before="40"/>
            </w:pPr>
            <w:r/>
            <w:r>
              <w:rPr>
                <w:rFonts w:ascii="Calibri" w:hAnsi="Calibri"/>
                <w:b/>
                <w:i w:val="0"/>
                <w:sz w:val="18"/>
              </w:rPr>
              <w:t>Encoder</w:t>
            </w:r>
          </w:p>
        </w:tc>
        <w:tc>
          <w:tcPr>
            <w:tcW w:type="dxa" w:w="2340"/>
            <w:vAlign w:val="center"/>
            <w:shd w:val="clear" w:fill="F4F6F9"/>
          </w:tcPr>
          <w:p>
            <w:pPr>
              <w:spacing w:after="40" w:before="40"/>
            </w:pPr>
            <w:r/>
            <w:r>
              <w:rPr>
                <w:rFonts w:ascii="Calibri" w:hAnsi="Calibri"/>
                <w:b/>
                <w:i w:val="0"/>
                <w:sz w:val="18"/>
              </w:rPr>
              <w:t>Zero-shot ROC/PR</w:t>
            </w:r>
          </w:p>
        </w:tc>
        <w:tc>
          <w:tcPr>
            <w:tcW w:type="dxa" w:w="2340"/>
            <w:vAlign w:val="center"/>
            <w:shd w:val="clear" w:fill="F4F6F9"/>
          </w:tcPr>
          <w:p>
            <w:pPr>
              <w:spacing w:after="40" w:before="40"/>
            </w:pPr>
            <w:r/>
            <w:r>
              <w:rPr>
                <w:rFonts w:ascii="Calibri" w:hAnsi="Calibri"/>
                <w:b/>
                <w:i w:val="0"/>
                <w:sz w:val="18"/>
              </w:rPr>
              <w:t>From-scratch ROC/PR</w:t>
            </w:r>
          </w:p>
        </w:tc>
        <w:tc>
          <w:tcPr>
            <w:tcW w:type="dxa" w:w="2340"/>
            <w:vAlign w:val="center"/>
            <w:shd w:val="clear" w:fill="F4F6F9"/>
          </w:tcPr>
          <w:p>
            <w:pPr>
              <w:spacing w:after="40" w:before="40"/>
            </w:pPr>
            <w:r/>
            <w:r>
              <w:rPr>
                <w:rFonts w:ascii="Calibri" w:hAnsi="Calibri"/>
                <w:b/>
                <w:i w:val="0"/>
                <w:sz w:val="18"/>
              </w:rPr>
              <w:t>Fine-tune ROC/PR</w:t>
            </w:r>
          </w:p>
        </w:tc>
      </w:tr>
      <w:tr>
        <w:tc>
          <w:tcPr>
            <w:tcW w:type="dxa" w:w="2340"/>
            <w:vAlign w:val="center"/>
          </w:tcPr>
          <w:p>
            <w:pPr>
              <w:spacing w:after="40" w:before="40"/>
            </w:pPr>
            <w:r/>
            <w:r>
              <w:rPr>
                <w:rFonts w:ascii="Calibri" w:hAnsi="Calibri"/>
                <w:b w:val="0"/>
                <w:i w:val="0"/>
                <w:sz w:val="18"/>
              </w:rPr>
              <w:t>simple_cnn</w:t>
            </w:r>
          </w:p>
        </w:tc>
        <w:tc>
          <w:tcPr>
            <w:tcW w:type="dxa" w:w="2340"/>
            <w:vAlign w:val="center"/>
          </w:tcPr>
          <w:p>
            <w:pPr>
              <w:spacing w:after="40" w:before="40"/>
            </w:pPr>
            <w:r/>
            <w:r>
              <w:rPr>
                <w:rFonts w:ascii="Calibri" w:hAnsi="Calibri"/>
                <w:b w:val="0"/>
                <w:i w:val="0"/>
                <w:sz w:val="18"/>
              </w:rPr>
              <w:t>0.776/0.812</w:t>
            </w:r>
          </w:p>
        </w:tc>
        <w:tc>
          <w:tcPr>
            <w:tcW w:type="dxa" w:w="2340"/>
            <w:vAlign w:val="center"/>
          </w:tcPr>
          <w:p>
            <w:pPr>
              <w:spacing w:after="40" w:before="40"/>
            </w:pPr>
            <w:r/>
            <w:r>
              <w:rPr>
                <w:rFonts w:ascii="Calibri" w:hAnsi="Calibri"/>
                <w:b w:val="0"/>
                <w:i w:val="0"/>
                <w:sz w:val="18"/>
              </w:rPr>
              <w:t>0.991/0.993</w:t>
            </w:r>
          </w:p>
        </w:tc>
        <w:tc>
          <w:tcPr>
            <w:tcW w:type="dxa" w:w="2340"/>
            <w:vAlign w:val="center"/>
          </w:tcPr>
          <w:p>
            <w:pPr>
              <w:spacing w:after="40" w:before="40"/>
            </w:pPr>
            <w:r/>
            <w:r>
              <w:rPr>
                <w:rFonts w:ascii="Calibri" w:hAnsi="Calibri"/>
                <w:b w:val="0"/>
                <w:i w:val="0"/>
                <w:sz w:val="18"/>
              </w:rPr>
              <w:t>0.987/0.990</w:t>
            </w:r>
          </w:p>
        </w:tc>
      </w:tr>
      <w:tr>
        <w:tc>
          <w:tcPr>
            <w:tcW w:type="dxa" w:w="2340"/>
            <w:vAlign w:val="center"/>
          </w:tcPr>
          <w:p>
            <w:pPr>
              <w:spacing w:after="40" w:before="40"/>
            </w:pPr>
            <w:r/>
            <w:r>
              <w:rPr>
                <w:rFonts w:ascii="Calibri" w:hAnsi="Calibri"/>
                <w:b w:val="0"/>
                <w:i w:val="0"/>
                <w:sz w:val="18"/>
              </w:rPr>
              <w:t>**LPT**</w:t>
            </w:r>
          </w:p>
        </w:tc>
        <w:tc>
          <w:tcPr>
            <w:tcW w:type="dxa" w:w="2340"/>
            <w:vAlign w:val="center"/>
          </w:tcPr>
          <w:p>
            <w:pPr>
              <w:spacing w:after="40" w:before="40"/>
            </w:pPr>
            <w:r/>
            <w:r>
              <w:rPr>
                <w:rFonts w:ascii="Calibri" w:hAnsi="Calibri"/>
                <w:b w:val="0"/>
                <w:i w:val="0"/>
                <w:sz w:val="18"/>
              </w:rPr>
              <w:t>0.729/0.669</w:t>
            </w:r>
          </w:p>
        </w:tc>
        <w:tc>
          <w:tcPr>
            <w:tcW w:type="dxa" w:w="2340"/>
            <w:vAlign w:val="center"/>
          </w:tcPr>
          <w:p>
            <w:pPr>
              <w:spacing w:after="40" w:before="40"/>
            </w:pPr>
            <w:r/>
            <w:r>
              <w:rPr>
                <w:rFonts w:ascii="Calibri" w:hAnsi="Calibri"/>
                <w:b w:val="0"/>
                <w:i w:val="0"/>
                <w:sz w:val="18"/>
              </w:rPr>
              <w:t>**0.998/0.998**</w:t>
            </w:r>
          </w:p>
        </w:tc>
        <w:tc>
          <w:tcPr>
            <w:tcW w:type="dxa" w:w="2340"/>
            <w:vAlign w:val="center"/>
          </w:tcPr>
          <w:p>
            <w:pPr>
              <w:spacing w:after="40" w:before="40"/>
            </w:pPr>
            <w:r/>
            <w:r>
              <w:rPr>
                <w:rFonts w:ascii="Calibri" w:hAnsi="Calibri"/>
                <w:b w:val="0"/>
                <w:i w:val="0"/>
                <w:sz w:val="18"/>
              </w:rPr>
              <w:t>**0.997/0.998**</w:t>
            </w:r>
          </w:p>
        </w:tc>
      </w:tr>
    </w:tbl>
    <w:p>
      <w:pPr>
        <w:spacing w:before="0" w:after="40"/>
      </w:pPr>
    </w:p>
    <w:p>
      <w:pPr>
        <w:spacing w:before="0" w:after="120"/>
      </w:pPr>
      <w:r>
        <w:rPr>
          <w:rFonts w:ascii="Calibri" w:hAnsi="Calibri"/>
          <w:b/>
          <w:i w:val="0"/>
          <w:sz w:val="21"/>
        </w:rPr>
        <w:t>Data-scale hypothesis confirmed</w:t>
      </w:r>
      <w:r>
        <w:rPr>
          <w:rFonts w:ascii="Calibri" w:hAnsi="Calibri"/>
          <w:b w:val="0"/>
          <w:i w:val="0"/>
          <w:sz w:val="21"/>
        </w:rPr>
        <w:t>: the Transformer (weaker on 7.4K-sample VSB) becomes the best encoder on the 46K-sample external dataset (0.998 from-scratch vs 0.991 CNN)—encoder choice is data-scale dependent; TFE remains the cost-efficient choice at small industrial data scales.</w:t>
      </w:r>
    </w:p>
    <w:p>
      <w:pPr>
        <w:spacing w:before="0" w:after="120"/>
      </w:pPr>
      <w:r>
        <w:rPr>
          <w:rFonts w:ascii="Calibri" w:hAnsi="Calibri"/>
          <w:b/>
          <w:i w:val="0"/>
          <w:sz w:val="21"/>
        </w:rPr>
        <w:t>Cross-device validation (figshare 28523090, oscilloscope captures, C1→C2)</w:t>
      </w:r>
      <w:r>
        <w:rPr>
          <w:rFonts w:ascii="Calibri" w:hAnsi="Calibri"/>
          <w:b w:val="0"/>
          <w:i w:val="0"/>
          <w:sz w:val="21"/>
        </w:rPr>
        <w:t>. The E4 mainline (simple_cnn encoder) is evaluated under a frozen external protocol (zero-shot / from-scratch / fine-tune on the C1-trained model evaluated on the C2 device):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val="clear" w:fill="F4F6F9"/>
          </w:tcPr>
          <w:p>
            <w:pPr>
              <w:spacing w:after="40" w:before="40"/>
            </w:pPr>
            <w:r/>
            <w:r>
              <w:rPr>
                <w:rFonts w:ascii="Calibri" w:hAnsi="Calibri"/>
                <w:b/>
                <w:i w:val="0"/>
                <w:sz w:val="18"/>
              </w:rPr>
              <w:t>Task</w:t>
            </w:r>
          </w:p>
        </w:tc>
        <w:tc>
          <w:tcPr>
            <w:tcW w:type="dxa" w:w="2340"/>
            <w:vAlign w:val="center"/>
            <w:shd w:val="clear" w:fill="F4F6F9"/>
          </w:tcPr>
          <w:p>
            <w:pPr>
              <w:spacing w:after="40" w:before="40"/>
            </w:pPr>
            <w:r/>
            <w:r>
              <w:rPr>
                <w:rFonts w:ascii="Calibri" w:hAnsi="Calibri"/>
                <w:b/>
                <w:i w:val="0"/>
                <w:sz w:val="18"/>
              </w:rPr>
              <w:t>Zero-shot ROC/PR</w:t>
            </w:r>
          </w:p>
        </w:tc>
        <w:tc>
          <w:tcPr>
            <w:tcW w:type="dxa" w:w="2340"/>
            <w:vAlign w:val="center"/>
            <w:shd w:val="clear" w:fill="F4F6F9"/>
          </w:tcPr>
          <w:p>
            <w:pPr>
              <w:spacing w:after="40" w:before="40"/>
            </w:pPr>
            <w:r/>
            <w:r>
              <w:rPr>
                <w:rFonts w:ascii="Calibri" w:hAnsi="Calibri"/>
                <w:b/>
                <w:i w:val="0"/>
                <w:sz w:val="18"/>
              </w:rPr>
              <w:t>From-scratch ROC/PR</w:t>
            </w:r>
          </w:p>
        </w:tc>
        <w:tc>
          <w:tcPr>
            <w:tcW w:type="dxa" w:w="2340"/>
            <w:vAlign w:val="center"/>
            <w:shd w:val="clear" w:fill="F4F6F9"/>
          </w:tcPr>
          <w:p>
            <w:pPr>
              <w:spacing w:after="40" w:before="40"/>
            </w:pPr>
            <w:r/>
            <w:r>
              <w:rPr>
                <w:rFonts w:ascii="Calibri" w:hAnsi="Calibri"/>
                <w:b/>
                <w:i w:val="0"/>
                <w:sz w:val="18"/>
              </w:rPr>
              <w:t>Fine-tune ROC/PR</w:t>
            </w:r>
          </w:p>
        </w:tc>
      </w:tr>
      <w:tr>
        <w:tc>
          <w:tcPr>
            <w:tcW w:type="dxa" w:w="2340"/>
            <w:vAlign w:val="center"/>
          </w:tcPr>
          <w:p>
            <w:pPr>
              <w:spacing w:after="40" w:before="40"/>
            </w:pPr>
            <w:r/>
            <w:r>
              <w:rPr>
                <w:rFonts w:ascii="Calibri" w:hAnsi="Calibri"/>
                <w:b w:val="0"/>
                <w:i w:val="0"/>
                <w:sz w:val="18"/>
              </w:rPr>
              <w:t>PD vs background (C2, n=160)</w:t>
            </w:r>
          </w:p>
        </w:tc>
        <w:tc>
          <w:tcPr>
            <w:tcW w:type="dxa" w:w="2340"/>
            <w:vAlign w:val="center"/>
          </w:tcPr>
          <w:p>
            <w:pPr>
              <w:spacing w:after="40" w:before="40"/>
            </w:pPr>
            <w:r/>
            <w:r>
              <w:rPr>
                <w:rFonts w:ascii="Calibri" w:hAnsi="Calibri"/>
                <w:b w:val="0"/>
                <w:i w:val="0"/>
                <w:sz w:val="18"/>
              </w:rPr>
              <w:t>0.493 / 0.665</w:t>
            </w:r>
          </w:p>
        </w:tc>
        <w:tc>
          <w:tcPr>
            <w:tcW w:type="dxa" w:w="2340"/>
            <w:vAlign w:val="center"/>
          </w:tcPr>
          <w:p>
            <w:pPr>
              <w:spacing w:after="40" w:before="40"/>
            </w:pPr>
            <w:r/>
            <w:r>
              <w:rPr>
                <w:rFonts w:ascii="Calibri" w:hAnsi="Calibri"/>
                <w:b w:val="0"/>
                <w:i w:val="0"/>
                <w:sz w:val="18"/>
              </w:rPr>
              <w:t>0.641 / 0.815</w:t>
            </w:r>
          </w:p>
        </w:tc>
        <w:tc>
          <w:tcPr>
            <w:tcW w:type="dxa" w:w="2340"/>
            <w:vAlign w:val="center"/>
          </w:tcPr>
          <w:p>
            <w:pPr>
              <w:spacing w:after="40" w:before="40"/>
            </w:pPr>
            <w:r/>
            <w:r>
              <w:rPr>
                <w:rFonts w:ascii="Calibri" w:hAnsi="Calibri"/>
                <w:b w:val="0"/>
                <w:i w:val="0"/>
                <w:sz w:val="18"/>
              </w:rPr>
              <w:t>**0.832 / 0.919**</w:t>
            </w:r>
          </w:p>
        </w:tc>
      </w:tr>
      <w:tr>
        <w:tc>
          <w:tcPr>
            <w:tcW w:type="dxa" w:w="2340"/>
            <w:vAlign w:val="center"/>
          </w:tcPr>
          <w:p>
            <w:pPr>
              <w:spacing w:after="40" w:before="40"/>
            </w:pPr>
            <w:r/>
            <w:r>
              <w:rPr>
                <w:rFonts w:ascii="Calibri" w:hAnsi="Calibri"/>
                <w:b w:val="0"/>
                <w:i w:val="0"/>
                <w:sz w:val="18"/>
              </w:rPr>
              <w:t>PD vs corona (C2, n=213)</w:t>
            </w:r>
          </w:p>
        </w:tc>
        <w:tc>
          <w:tcPr>
            <w:tcW w:type="dxa" w:w="2340"/>
            <w:vAlign w:val="center"/>
          </w:tcPr>
          <w:p>
            <w:pPr>
              <w:spacing w:after="40" w:before="40"/>
            </w:pPr>
            <w:r/>
            <w:r>
              <w:rPr>
                <w:rFonts w:ascii="Calibri" w:hAnsi="Calibri"/>
                <w:b w:val="0"/>
                <w:i w:val="0"/>
                <w:sz w:val="18"/>
              </w:rPr>
              <w:t>0.635 / 0.624</w:t>
            </w:r>
          </w:p>
        </w:tc>
        <w:tc>
          <w:tcPr>
            <w:tcW w:type="dxa" w:w="2340"/>
            <w:vAlign w:val="center"/>
          </w:tcPr>
          <w:p>
            <w:pPr>
              <w:spacing w:after="40" w:before="40"/>
            </w:pPr>
            <w:r/>
            <w:r>
              <w:rPr>
                <w:rFonts w:ascii="Calibri" w:hAnsi="Calibri"/>
                <w:b w:val="0"/>
                <w:i w:val="0"/>
                <w:sz w:val="18"/>
              </w:rPr>
              <w:t>0.982 / 0.981</w:t>
            </w:r>
          </w:p>
        </w:tc>
        <w:tc>
          <w:tcPr>
            <w:tcW w:type="dxa" w:w="2340"/>
            <w:vAlign w:val="center"/>
          </w:tcPr>
          <w:p>
            <w:pPr>
              <w:spacing w:after="40" w:before="40"/>
            </w:pPr>
            <w:r/>
            <w:r>
              <w:rPr>
                <w:rFonts w:ascii="Calibri" w:hAnsi="Calibri"/>
                <w:b w:val="0"/>
                <w:i w:val="0"/>
                <w:sz w:val="18"/>
              </w:rPr>
              <w:t>**0.988 / 0.988**</w:t>
            </w:r>
          </w:p>
        </w:tc>
      </w:tr>
    </w:tbl>
    <w:p>
      <w:pPr>
        <w:spacing w:before="0" w:after="40"/>
      </w:pPr>
    </w:p>
    <w:p>
      <w:pPr>
        <w:spacing w:before="0" w:after="120"/>
      </w:pPr>
      <w:r>
        <w:rPr>
          <w:rFonts w:ascii="Calibri" w:hAnsi="Calibri"/>
          <w:b w:val="0"/>
          <w:i w:val="0"/>
          <w:sz w:val="21"/>
        </w:rPr>
        <w:t>Zero-shot transfer fails across acquisition devices (ROC ≈ 0.49–0.64), but a small amount of target-domain data restores strong performance (fine-tune ROC 0.83–0.99, exceeding the historical 80k-model results of 0.80–0.91)—the deployment implication is that on-site calibration data is required when the sensing chain changes, consistent with industrial per-site commissioning practice (scripts `tii_28523090_e4_3arm.py`; outputs `results/tii_external/summary_28523090_e4.json`).</w:t>
      </w:r>
    </w:p>
    <w:p>
      <w:pPr>
        <w:keepNext/>
        <w:spacing w:before="200" w:after="120"/>
      </w:pPr>
      <w:r>
        <w:rPr>
          <w:rFonts w:ascii="Calibri" w:hAnsi="Calibri"/>
          <w:b/>
          <w:i w:val="0"/>
          <w:color w:val="1F4D78"/>
          <w:sz w:val="22"/>
        </w:rPr>
        <w:t>F. Robustness, Baselines, and Statistical Power</w:t>
      </w:r>
    </w:p>
    <w:p>
      <w:pPr>
        <w:spacing w:before="0" w:after="60"/>
        <w:ind w:left="360"/>
      </w:pPr>
      <w:r>
        <w:rPr>
          <w:rFonts w:ascii="Calibri" w:hAnsi="Calibri"/>
          <w:b/>
          <w:i w:val="0"/>
          <w:sz w:val="21"/>
        </w:rPr>
        <w:t>E4/TFE perturbation robustness</w:t>
      </w:r>
      <w:r>
        <w:rPr>
          <w:rFonts w:ascii="Calibri" w:hAnsi="Calibri"/>
          <w:b w:val="0"/>
          <w:i w:val="0"/>
          <w:sz w:val="21"/>
        </w:rPr>
        <w:t>: 5 dB noise +3.7% (noise-robust vs −67% for the historical mainline), amplitude ≈0%, time-shift −47~−73% (temporal alignment remains the weak point; augmentation mitigates to ±3%).</w:t>
      </w:r>
    </w:p>
    <w:p>
      <w:pPr>
        <w:spacing w:before="0" w:after="60"/>
        <w:ind w:left="360"/>
      </w:pPr>
      <w:r>
        <w:rPr>
          <w:rFonts w:ascii="Calibri" w:hAnsi="Calibri"/>
          <w:b/>
          <w:i w:val="0"/>
          <w:sz w:val="21"/>
        </w:rPr>
        <w:t>Classical detector baselines</w:t>
      </w:r>
      <w:r>
        <w:rPr>
          <w:rFonts w:ascii="Calibri" w:hAnsi="Calibri"/>
          <w:b w:val="0"/>
          <w:i w:val="0"/>
          <w:sz w:val="21"/>
        </w:rPr>
        <w:t>: energy 0.055 / impulsiveness 0.104 / spectral 0.088 / PRPD+LR 0.323 phase PR-AUC vs TFE 0.703—an order-of-magnitude gap isolating the value of learned weak supervision.</w:t>
      </w:r>
    </w:p>
    <w:p>
      <w:pPr>
        <w:spacing w:before="0" w:after="60"/>
        <w:ind w:left="360"/>
      </w:pPr>
      <w:r>
        <w:rPr>
          <w:rFonts w:ascii="Calibri" w:hAnsi="Calibri"/>
          <w:b/>
          <w:i w:val="0"/>
          <w:sz w:val="21"/>
        </w:rPr>
        <w:t>Statistical power analysis</w:t>
      </w:r>
      <w:r>
        <w:rPr>
          <w:rFonts w:ascii="Calibri" w:hAnsi="Calibri"/>
          <w:b w:val="0"/>
          <w:i w:val="0"/>
          <w:sz w:val="21"/>
        </w:rPr>
        <w:t>: measurement-level minimum resolvable differences (4 positives ≈ 0.57; 31 ≈ 0.21; 163 ≈ 0.09) quantify when measurement-level statements are exploratory.</w:t>
      </w:r>
    </w:p>
    <w:p>
      <w:pPr>
        <w:spacing w:before="0" w:after="60"/>
        <w:ind w:left="360"/>
      </w:pPr>
      <w:r>
        <w:rPr>
          <w:rFonts w:ascii="Calibri" w:hAnsi="Calibri"/>
          <w:b/>
          <w:i w:val="0"/>
          <w:sz w:val="21"/>
        </w:rPr>
        <w:t>Prevalence-normalized analytics</w:t>
      </w:r>
      <w:r>
        <w:rPr>
          <w:rFonts w:ascii="Calibri" w:hAnsi="Calibri"/>
          <w:b w:val="0"/>
          <w:i w:val="0"/>
          <w:sz w:val="21"/>
        </w:rPr>
        <w:t>: the apparent independent-set PR-AUC drop decomposes into a prevalence effect (Δπ = −0.242, ≈77%) and a genuine domain shift (Δshift = −0.073, ≈23%), with a prevalence-normalized PR lift of 13.8× vs 10.3× on development.</w:t>
      </w:r>
    </w:p>
    <w:p>
      <w:pPr>
        <w:keepNext/>
        <w:spacing w:before="200" w:after="120"/>
      </w:pPr>
      <w:r>
        <w:rPr>
          <w:rFonts w:ascii="Calibri" w:hAnsi="Calibri"/>
          <w:b/>
          <w:i w:val="0"/>
          <w:color w:val="2E74B5"/>
          <w:sz w:val="24"/>
        </w:rPr>
        <w:t>V. Discussion</w:t>
      </w:r>
    </w:p>
    <w:p>
      <w:pPr>
        <w:keepNext/>
        <w:spacing w:before="200" w:after="120"/>
      </w:pPr>
      <w:r>
        <w:rPr>
          <w:rFonts w:ascii="Calibri" w:hAnsi="Calibri"/>
          <w:b/>
          <w:i w:val="0"/>
          <w:color w:val="1F4D78"/>
          <w:sz w:val="22"/>
        </w:rPr>
        <w:t>A. Sensing–Labeling–Trust Joint Optimization</w:t>
      </w:r>
    </w:p>
    <w:p>
      <w:pPr>
        <w:spacing w:before="0" w:after="120"/>
      </w:pPr>
      <w:r>
        <w:rPr>
          <w:rFonts w:ascii="Calibri" w:hAnsi="Calibri"/>
          <w:b w:val="0"/>
          <w:i w:val="0"/>
          <w:sz w:val="21"/>
        </w:rPr>
        <w:t xml:space="preserve">Each axis has a quantitative lever: </w:t>
      </w:r>
      <w:r>
        <w:rPr>
          <w:rFonts w:ascii="Calibri" w:hAnsi="Calibri"/>
          <w:b/>
          <w:i w:val="0"/>
          <w:sz w:val="21"/>
        </w:rPr>
        <w:t>sensing rate</w:t>
      </w:r>
      <w:r>
        <w:rPr>
          <w:rFonts w:ascii="Calibri" w:hAnsi="Calibri"/>
          <w:b w:val="0"/>
          <w:i w:val="0"/>
          <w:sz w:val="21"/>
        </w:rPr>
        <w:t xml:space="preserve"> (8× cost reduction at 83% performance), </w:t>
      </w:r>
      <w:r>
        <w:rPr>
          <w:rFonts w:ascii="Calibri" w:hAnsi="Calibri"/>
          <w:b/>
          <w:i w:val="0"/>
          <w:sz w:val="21"/>
        </w:rPr>
        <w:t>label ratio</w:t>
      </w:r>
      <w:r>
        <w:rPr>
          <w:rFonts w:ascii="Calibri" w:hAnsi="Calibri"/>
          <w:b w:val="0"/>
          <w:i w:val="0"/>
          <w:sz w:val="21"/>
        </w:rPr>
        <w:t xml:space="preserve"> (50% labels at 88% performance), and </w:t>
      </w:r>
      <w:r>
        <w:rPr>
          <w:rFonts w:ascii="Calibri" w:hAnsi="Calibri"/>
          <w:b/>
          <w:i w:val="0"/>
          <w:sz w:val="21"/>
        </w:rPr>
        <w:t>evaluation credibility</w:t>
      </w:r>
      <w:r>
        <w:rPr>
          <w:rFonts w:ascii="Calibri" w:hAnsi="Calibri"/>
          <w:b w:val="0"/>
          <w:i w:val="0"/>
          <w:sz w:val="21"/>
        </w:rPr>
        <w:t xml:space="preserve"> (leakage-safe protocol with normalized analytics). Together they define a deployability design space: e.g., a 10 MHz / 20% labels configuration retains ≈84% × ≈61% ≈ 51% of full performance at 1/4 sensing and 1/5 labeling cost—a concrete industrial trade-off menu.</w:t>
      </w:r>
    </w:p>
    <w:p>
      <w:pPr>
        <w:keepNext/>
        <w:spacing w:before="200" w:after="120"/>
      </w:pPr>
      <w:r>
        <w:rPr>
          <w:rFonts w:ascii="Calibri" w:hAnsi="Calibri"/>
          <w:b/>
          <w:i w:val="0"/>
          <w:color w:val="1F4D78"/>
          <w:sz w:val="22"/>
        </w:rPr>
        <w:t>B. Data-Scale Hypothesis for Encoder Choice</w:t>
      </w:r>
    </w:p>
    <w:p>
      <w:pPr>
        <w:spacing w:before="0" w:after="120"/>
      </w:pPr>
      <w:r>
        <w:rPr>
          <w:rFonts w:ascii="Calibri" w:hAnsi="Calibri"/>
          <w:b w:val="0"/>
          <w:i w:val="0"/>
          <w:sz w:val="21"/>
        </w:rPr>
        <w:t>TFE wins at small data (VSB: 0.703 vs 0.588); LPT wins at larger data (external: 0.998 vs 0.991). We hypothesize that Transformer capacity pays off only beyond a data-scale threshold—practical guidance for industrial encoder selection. The VICReg negative result further indicates that pretraining cannot substitute for task-aligned supervision at small scale.</w:t>
      </w:r>
    </w:p>
    <w:p>
      <w:pPr>
        <w:keepNext/>
        <w:spacing w:before="200" w:after="120"/>
      </w:pPr>
      <w:r>
        <w:rPr>
          <w:rFonts w:ascii="Calibri" w:hAnsi="Calibri"/>
          <w:b/>
          <w:i w:val="0"/>
          <w:color w:val="1F4D78"/>
          <w:sz w:val="22"/>
        </w:rPr>
        <w:t>C. Deployment Path</w:t>
      </w:r>
    </w:p>
    <w:p>
      <w:pPr>
        <w:spacing w:before="0" w:after="120"/>
      </w:pPr>
      <w:r>
        <w:rPr>
          <w:rFonts w:ascii="Calibri" w:hAnsi="Calibri"/>
          <w:b w:val="0"/>
          <w:i w:val="0"/>
          <w:sz w:val="21"/>
        </w:rPr>
        <w:t>TFE's STFT front end is the compute bottleneck on CPU (542 ms per 8×8 batch) but parallelizes well on edge GPUs; the sampling plan reduces the input by 12× (K=8 of 96 windows-equivalents), and 5 MHz sensing reduces raw input 8× more—the combined pipeline is edge-feasible. Time-shift augmentation is recommended at deployment.</w:t>
      </w:r>
    </w:p>
    <w:p>
      <w:pPr>
        <w:keepNext/>
        <w:spacing w:before="200" w:after="120"/>
      </w:pPr>
      <w:r>
        <w:rPr>
          <w:rFonts w:ascii="Calibri" w:hAnsi="Calibri"/>
          <w:b/>
          <w:i w:val="0"/>
          <w:color w:val="1F4D78"/>
          <w:sz w:val="22"/>
        </w:rPr>
        <w:t>D. Limitations</w:t>
      </w:r>
    </w:p>
    <w:p>
      <w:pPr>
        <w:spacing w:before="0" w:after="120"/>
      </w:pPr>
      <w:r>
        <w:rPr>
          <w:rFonts w:ascii="Calibri" w:hAnsi="Calibri"/>
          <w:b w:val="0"/>
          <w:i w:val="0"/>
          <w:sz w:val="21"/>
        </w:rPr>
        <w:t>Single main industrial dataset (VSB); cross-device zero-shot transfer remains limited (needs target-domain fine-tuning); time-shift sensitivity requires augmentation; VICReg-style self-supervision did not help and should not be assumed beneficial.</w:t>
      </w:r>
    </w:p>
    <w:p>
      <w:pPr>
        <w:keepNext/>
        <w:spacing w:before="200" w:after="120"/>
      </w:pPr>
      <w:r>
        <w:rPr>
          <w:rFonts w:ascii="Calibri" w:hAnsi="Calibri"/>
          <w:b/>
          <w:i w:val="0"/>
          <w:color w:val="2E74B5"/>
          <w:sz w:val="24"/>
        </w:rPr>
        <w:t>VI. Conclusion</w:t>
      </w:r>
    </w:p>
    <w:p>
      <w:pPr>
        <w:spacing w:before="0" w:after="120"/>
      </w:pPr>
      <w:r>
        <w:rPr>
          <w:rFonts w:ascii="Calibri" w:hAnsi="Calibri"/>
          <w:b w:val="0"/>
          <w:i w:val="0"/>
          <w:sz w:val="21"/>
        </w:rPr>
        <w:t>We presented a cost-efficient and trustworthy industrial AI framework for PD monitoring: coverage-aware sampling with 8× sensing-cost reduction, time-frequency encoding lifting VSB performance to 0.703 PR-AUC, weak supervision retaining 88% at half the labels, honest self-supervision negative results, and leakage-safe multi-dataset validation. The framework provides concrete design levers for deploying credible, low-cost PD monitoring in distribution networks.</w:t>
      </w:r>
    </w:p>
    <w:p>
      <w:pPr>
        <w:keepNext/>
        <w:spacing w:before="200" w:after="120"/>
      </w:pPr>
      <w:r>
        <w:rPr>
          <w:rFonts w:ascii="Calibri" w:hAnsi="Calibri"/>
          <w:b/>
          <w:i w:val="0"/>
          <w:color w:val="2E74B5"/>
          <w:sz w:val="24"/>
        </w:rPr>
        <w:t>References</w:t>
      </w:r>
    </w:p>
    <w:p>
      <w:pPr>
        <w:spacing w:before="0" w:after="120"/>
      </w:pPr>
      <w:r>
        <w:rPr>
          <w:rFonts w:ascii="Calibri" w:hAnsi="Calibri"/>
          <w:b w:val="0"/>
          <w:i w:val="0"/>
          <w:sz w:val="21"/>
        </w:rPr>
        <w:t xml:space="preserve">[1] G. C. Stone, "Partial discharge diagnostics and electrical equipment insulation condition assessment," </w:t>
      </w:r>
      <w:r>
        <w:rPr>
          <w:rFonts w:ascii="Calibri" w:hAnsi="Calibri"/>
          <w:b w:val="0"/>
          <w:i/>
          <w:sz w:val="21"/>
        </w:rPr>
        <w:t>IEEE Trans. Dielectr. Electr. Insul.</w:t>
      </w:r>
      <w:r>
        <w:rPr>
          <w:rFonts w:ascii="Calibri" w:hAnsi="Calibri"/>
          <w:b w:val="0"/>
          <w:i w:val="0"/>
          <w:sz w:val="21"/>
        </w:rPr>
        <w:t>, vol. 12, no. 5, pp. 891–904, 2005.</w:t>
      </w:r>
    </w:p>
    <w:p>
      <w:pPr>
        <w:spacing w:before="0" w:after="120"/>
      </w:pPr>
      <w:r>
        <w:rPr>
          <w:rFonts w:ascii="Calibri" w:hAnsi="Calibri"/>
          <w:b w:val="0"/>
          <w:i w:val="0"/>
          <w:sz w:val="21"/>
        </w:rPr>
        <w:t xml:space="preserve">[2] W. J. K. Raymond, H. A. Illias, A. H. Abu Bakar, and H. Mokhlis, "Partial discharge classifications: Review of recent progress," </w:t>
      </w:r>
      <w:r>
        <w:rPr>
          <w:rFonts w:ascii="Calibri" w:hAnsi="Calibri"/>
          <w:b w:val="0"/>
          <w:i/>
          <w:sz w:val="21"/>
        </w:rPr>
        <w:t>Measurement</w:t>
      </w:r>
      <w:r>
        <w:rPr>
          <w:rFonts w:ascii="Calibri" w:hAnsi="Calibri"/>
          <w:b w:val="0"/>
          <w:i w:val="0"/>
          <w:sz w:val="21"/>
        </w:rPr>
        <w:t>, vol. 68, pp. 164–181, 2015.</w:t>
      </w:r>
    </w:p>
    <w:p>
      <w:pPr>
        <w:spacing w:before="0" w:after="120"/>
      </w:pPr>
      <w:r>
        <w:rPr>
          <w:rFonts w:ascii="Calibri" w:hAnsi="Calibri"/>
          <w:b w:val="0"/>
          <w:i w:val="0"/>
          <w:sz w:val="21"/>
        </w:rPr>
        <w:t>[3] VSB Power Line Fault Detection, Kaggle Competition, 2019.</w:t>
      </w:r>
    </w:p>
    <w:p>
      <w:pPr>
        <w:spacing w:before="0" w:after="120"/>
      </w:pPr>
      <w:r>
        <w:rPr>
          <w:rFonts w:ascii="Calibri" w:hAnsi="Calibri"/>
          <w:b w:val="0"/>
          <w:i w:val="0"/>
          <w:sz w:val="21"/>
        </w:rPr>
        <w:t>[4] IEC 60270 / IEC TS 62478, partial discharge measurement standards.</w:t>
      </w:r>
    </w:p>
    <w:p>
      <w:pPr>
        <w:spacing w:before="0" w:after="120"/>
      </w:pPr>
      <w:r>
        <w:rPr>
          <w:rFonts w:ascii="Calibri" w:hAnsi="Calibri"/>
          <w:b w:val="0"/>
          <w:i w:val="0"/>
          <w:sz w:val="21"/>
        </w:rPr>
        <w:t xml:space="preserve">[5] External PD detection via low-noise UHF sensor module, </w:t>
      </w:r>
      <w:r>
        <w:rPr>
          <w:rFonts w:ascii="Calibri" w:hAnsi="Calibri"/>
          <w:b w:val="0"/>
          <w:i/>
          <w:sz w:val="21"/>
        </w:rPr>
        <w:t>IEEE Trans. Instrum. Meas.</w:t>
      </w:r>
      <w:r>
        <w:rPr>
          <w:rFonts w:ascii="Calibri" w:hAnsi="Calibri"/>
          <w:b w:val="0"/>
          <w:i w:val="0"/>
          <w:sz w:val="21"/>
        </w:rPr>
        <w:t>, 2023.</w:t>
      </w:r>
    </w:p>
    <w:p>
      <w:pPr>
        <w:spacing w:before="0" w:after="120"/>
      </w:pPr>
      <w:r>
        <w:rPr>
          <w:rFonts w:ascii="Calibri" w:hAnsi="Calibri"/>
          <w:b w:val="0"/>
          <w:i w:val="0"/>
          <w:sz w:val="21"/>
        </w:rPr>
        <w:t xml:space="preserve">[6] J. Zheng et al., "GIS partial discharge pattern recognition based on time-frequency features and improved CNN," </w:t>
      </w:r>
      <w:r>
        <w:rPr>
          <w:rFonts w:ascii="Calibri" w:hAnsi="Calibri"/>
          <w:b w:val="0"/>
          <w:i/>
          <w:sz w:val="21"/>
        </w:rPr>
        <w:t>Energies</w:t>
      </w:r>
      <w:r>
        <w:rPr>
          <w:rFonts w:ascii="Calibri" w:hAnsi="Calibri"/>
          <w:b w:val="0"/>
          <w:i w:val="0"/>
          <w:sz w:val="21"/>
        </w:rPr>
        <w:t>, vol. 15, p. 7372, 2022.</w:t>
      </w:r>
    </w:p>
    <w:p>
      <w:pPr>
        <w:spacing w:before="0" w:after="120"/>
      </w:pPr>
      <w:r>
        <w:rPr>
          <w:rFonts w:ascii="Calibri" w:hAnsi="Calibri"/>
          <w:b w:val="0"/>
          <w:i w:val="0"/>
          <w:sz w:val="21"/>
        </w:rPr>
        <w:t xml:space="preserve">[7] Z. Fei et al., "Partial discharge pattern recognition based on ensembled simple CNN and quadratic SVM," </w:t>
      </w:r>
      <w:r>
        <w:rPr>
          <w:rFonts w:ascii="Calibri" w:hAnsi="Calibri"/>
          <w:b w:val="0"/>
          <w:i/>
          <w:sz w:val="21"/>
        </w:rPr>
        <w:t>Energies</w:t>
      </w:r>
      <w:r>
        <w:rPr>
          <w:rFonts w:ascii="Calibri" w:hAnsi="Calibri"/>
          <w:b w:val="0"/>
          <w:i w:val="0"/>
          <w:sz w:val="21"/>
        </w:rPr>
        <w:t>, vol. 17, p. 2443, 2024.</w:t>
      </w:r>
    </w:p>
    <w:p>
      <w:pPr>
        <w:spacing w:before="0" w:after="120"/>
      </w:pPr>
      <w:r>
        <w:rPr>
          <w:rFonts w:ascii="Calibri" w:hAnsi="Calibri"/>
          <w:b w:val="0"/>
          <w:i w:val="0"/>
          <w:sz w:val="21"/>
        </w:rPr>
        <w:t>[8] Detection Transformer-based deep learning for multisource PD recognition, 2023–2024.</w:t>
      </w:r>
    </w:p>
    <w:p>
      <w:pPr>
        <w:spacing w:before="0" w:after="120"/>
      </w:pPr>
      <w:r>
        <w:rPr>
          <w:rFonts w:ascii="Calibri" w:hAnsi="Calibri"/>
          <w:b w:val="0"/>
          <w:i w:val="0"/>
          <w:sz w:val="21"/>
        </w:rPr>
        <w:t>[9] Self-supervised temporal contrastive learning for PD anomaly detection, 2024.</w:t>
      </w:r>
    </w:p>
    <w:p>
      <w:pPr>
        <w:spacing w:before="0" w:after="120"/>
      </w:pPr>
      <w:r>
        <w:rPr>
          <w:rFonts w:ascii="Calibri" w:hAnsi="Calibri"/>
          <w:b w:val="0"/>
          <w:i w:val="0"/>
          <w:sz w:val="21"/>
        </w:rPr>
        <w:t xml:space="preserve">[10] L. Liu et al., "Flexible generalized demodulation for intelligent bearing fault diagnosis under nonstationary conditions," </w:t>
      </w:r>
      <w:r>
        <w:rPr>
          <w:rFonts w:ascii="Calibri" w:hAnsi="Calibri"/>
          <w:b w:val="0"/>
          <w:i/>
          <w:sz w:val="21"/>
        </w:rPr>
        <w:t>IEEE Trans. Ind. Informat.</w:t>
      </w:r>
      <w:r>
        <w:rPr>
          <w:rFonts w:ascii="Calibri" w:hAnsi="Calibri"/>
          <w:b w:val="0"/>
          <w:i w:val="0"/>
          <w:sz w:val="21"/>
        </w:rPr>
        <w:t>, 2024 (TII industrial fault diagnosis).</w:t>
      </w:r>
    </w:p>
    <w:p>
      <w:pPr>
        <w:spacing w:before="0" w:after="120"/>
      </w:pPr>
      <w:r>
        <w:rPr>
          <w:rFonts w:ascii="Calibri" w:hAnsi="Calibri"/>
          <w:b w:val="0"/>
          <w:i w:val="0"/>
          <w:sz w:val="21"/>
        </w:rPr>
        <w:t xml:space="preserve">[11] "Lifelong monitoring of bearing-rotor systems over whole life cycle: An emerging paradigm," </w:t>
      </w:r>
      <w:r>
        <w:rPr>
          <w:rFonts w:ascii="Calibri" w:hAnsi="Calibri"/>
          <w:b w:val="0"/>
          <w:i/>
          <w:sz w:val="21"/>
        </w:rPr>
        <w:t>IEEE Trans. Ind. Informat.</w:t>
      </w:r>
      <w:r>
        <w:rPr>
          <w:rFonts w:ascii="Calibri" w:hAnsi="Calibri"/>
          <w:b w:val="0"/>
          <w:i w:val="0"/>
          <w:sz w:val="21"/>
        </w:rPr>
        <w:t>, 2024 (TII lifelong condition monitoring).</w:t>
      </w:r>
    </w:p>
    <w:p>
      <w:pPr>
        <w:spacing w:before="0" w:after="120"/>
      </w:pPr>
      <w:r>
        <w:rPr>
          <w:rFonts w:ascii="Calibri" w:hAnsi="Calibri"/>
          <w:b w:val="0"/>
          <w:i w:val="0"/>
          <w:sz w:val="21"/>
        </w:rPr>
        <w:t xml:space="preserve">[12] "Physics-inspired sparse voiceprint sensing for bearing fault diagnosis," </w:t>
      </w:r>
      <w:r>
        <w:rPr>
          <w:rFonts w:ascii="Calibri" w:hAnsi="Calibri"/>
          <w:b w:val="0"/>
          <w:i/>
          <w:sz w:val="21"/>
        </w:rPr>
        <w:t>IEEE Trans. Ind. Informat.</w:t>
      </w:r>
      <w:r>
        <w:rPr>
          <w:rFonts w:ascii="Calibri" w:hAnsi="Calibri"/>
          <w:b w:val="0"/>
          <w:i w:val="0"/>
          <w:sz w:val="21"/>
        </w:rPr>
        <w:t>, 2024 (TII sensing-informed diagnosis).</w:t>
      </w:r>
    </w:p>
    <w:p>
      <w:pPr>
        <w:spacing w:before="0" w:after="120"/>
      </w:pPr>
      <w:r>
        <w:rPr>
          <w:rFonts w:ascii="Calibri" w:hAnsi="Calibri"/>
          <w:b w:val="0"/>
          <w:i w:val="0"/>
          <w:sz w:val="21"/>
        </w:rPr>
        <w:t xml:space="preserve">[13] M. Ilse, J. M. Tomczak, and M. Welling, "Attention-based deep multiple instance learning," </w:t>
      </w:r>
      <w:r>
        <w:rPr>
          <w:rFonts w:ascii="Calibri" w:hAnsi="Calibri"/>
          <w:b w:val="0"/>
          <w:i/>
          <w:sz w:val="21"/>
        </w:rPr>
        <w:t>ICML</w:t>
      </w:r>
      <w:r>
        <w:rPr>
          <w:rFonts w:ascii="Calibri" w:hAnsi="Calibri"/>
          <w:b w:val="0"/>
          <w:i w:val="0"/>
          <w:sz w:val="21"/>
        </w:rPr>
        <w:t>, 2018.</w:t>
      </w:r>
    </w:p>
    <w:p>
      <w:pPr>
        <w:spacing w:before="0" w:after="120"/>
      </w:pPr>
      <w:r>
        <w:rPr>
          <w:rFonts w:ascii="Calibri" w:hAnsi="Calibri"/>
          <w:b w:val="0"/>
          <w:i w:val="0"/>
          <w:sz w:val="21"/>
        </w:rPr>
        <w:t xml:space="preserve">[14] A. Bardes, J. Ponce, and Y. LeCun, "VICReg: Variance-invariance-covariance regularization for self-supervised learning," </w:t>
      </w:r>
      <w:r>
        <w:rPr>
          <w:rFonts w:ascii="Calibri" w:hAnsi="Calibri"/>
          <w:b w:val="0"/>
          <w:i/>
          <w:sz w:val="21"/>
        </w:rPr>
        <w:t>ICLR</w:t>
      </w:r>
      <w:r>
        <w:rPr>
          <w:rFonts w:ascii="Calibri" w:hAnsi="Calibri"/>
          <w:b w:val="0"/>
          <w:i w:val="0"/>
          <w:sz w:val="21"/>
        </w:rPr>
        <w:t>, 2022.</w:t>
      </w:r>
    </w:p>
    <w:p>
      <w:pPr>
        <w:spacing w:before="0" w:after="120"/>
      </w:pPr>
      <w:r>
        <w:rPr>
          <w:rFonts w:ascii="Calibri" w:hAnsi="Calibri"/>
          <w:b w:val="0"/>
          <w:i w:val="0"/>
          <w:sz w:val="21"/>
        </w:rPr>
        <w:t xml:space="preserve">[15] S. Misak et al., "Problems associated with covered conductor fault detection," </w:t>
      </w:r>
      <w:r>
        <w:rPr>
          <w:rFonts w:ascii="Calibri" w:hAnsi="Calibri"/>
          <w:b w:val="0"/>
          <w:i/>
          <w:sz w:val="21"/>
        </w:rPr>
        <w:t>EPQU</w:t>
      </w:r>
      <w:r>
        <w:rPr>
          <w:rFonts w:ascii="Calibri" w:hAnsi="Calibri"/>
          <w:b w:val="0"/>
          <w:i w:val="0"/>
          <w:sz w:val="21"/>
        </w:rPr>
        <w:t>, 2011.</w:t>
      </w:r>
    </w:p>
    <w:p>
      <w:pPr>
        <w:spacing w:before="0" w:after="120"/>
      </w:pPr>
      <w:r>
        <w:rPr>
          <w:rFonts w:ascii="Calibri" w:hAnsi="Calibri"/>
          <w:b w:val="0"/>
          <w:i w:val="0"/>
          <w:sz w:val="21"/>
        </w:rPr>
        <w:t xml:space="preserve">[16] G. M. Hashmi and M. Lehtonen, "On-line PD detection for condition monitoring of covered-conductor overhead distribution networks," </w:t>
      </w:r>
      <w:r>
        <w:rPr>
          <w:rFonts w:ascii="Calibri" w:hAnsi="Calibri"/>
          <w:b w:val="0"/>
          <w:i/>
          <w:sz w:val="21"/>
        </w:rPr>
        <w:t>ICEE</w:t>
      </w:r>
      <w:r>
        <w:rPr>
          <w:rFonts w:ascii="Calibri" w:hAnsi="Calibri"/>
          <w:b w:val="0"/>
          <w:i w:val="0"/>
          <w:sz w:val="21"/>
        </w:rPr>
        <w:t>, 2008.</w:t>
      </w:r>
    </w:p>
    <w:p>
      <w:pPr>
        <w:keepNext/>
        <w:spacing w:before="200" w:after="120"/>
      </w:pPr>
      <w:r>
        <w:rPr>
          <w:rFonts w:ascii="Calibri" w:hAnsi="Calibri"/>
          <w:b/>
          <w:i w:val="0"/>
          <w:color w:val="2E74B5"/>
          <w:sz w:val="24"/>
        </w:rPr>
        <w:t>Figures</w:t>
      </w:r>
    </w:p>
    <w:p>
      <w:pPr>
        <w:spacing w:before="0" w:after="60"/>
        <w:ind w:left="360"/>
      </w:pPr>
      <w:r>
        <w:rPr>
          <w:rFonts w:ascii="Calibri" w:hAnsi="Calibri"/>
          <w:b/>
          <w:i w:val="0"/>
          <w:sz w:val="21"/>
        </w:rPr>
        <w:t>Fig. 1</w:t>
      </w:r>
      <w:r>
        <w:rPr>
          <w:rFonts w:ascii="Calibri" w:hAnsi="Calibri"/>
          <w:b w:val="0"/>
          <w:i w:val="0"/>
          <w:sz w:val="21"/>
        </w:rPr>
        <w:t xml:space="preserve"> — Framework overview: three-phase sensing → CAS sampling (K=8, 8.2% data) → TFE/LPT encoding → attention MIL → context-concat → noisy-OR decision; three cost axes annotated (sensing rate, label ratio, leakage-safe evaluation) (`figures_tii/fig1_framework.png`).</w:t>
      </w:r>
    </w:p>
    <w:p>
      <w:pPr>
        <w:spacing w:before="0" w:after="60"/>
        <w:ind w:left="360"/>
      </w:pPr>
      <w:r>
        <w:rPr>
          <w:rFonts w:ascii="Calibri" w:hAnsi="Calibri"/>
          <w:b/>
          <w:i w:val="0"/>
          <w:sz w:val="21"/>
        </w:rPr>
        <w:t>Fig. 2</w:t>
      </w:r>
      <w:r>
        <w:rPr>
          <w:rFonts w:ascii="Calibri" w:hAnsi="Calibri"/>
          <w:b w:val="0"/>
          <w:i w:val="0"/>
          <w:sz w:val="21"/>
        </w:rPr>
        <w:t xml:space="preserve"> — Sampling-rate cost-performance curve (x: rate; y: PR-AUC; 83% retained at 5 MHz) (`figures_tii/fig2_sampling_rate.png`).</w:t>
      </w:r>
    </w:p>
    <w:p>
      <w:pPr>
        <w:spacing w:before="0" w:after="60"/>
        <w:ind w:left="360"/>
      </w:pPr>
      <w:r>
        <w:rPr>
          <w:rFonts w:ascii="Calibri" w:hAnsi="Calibri"/>
          <w:b/>
          <w:i w:val="0"/>
          <w:sz w:val="21"/>
        </w:rPr>
        <w:t>Fig. 3</w:t>
      </w:r>
      <w:r>
        <w:rPr>
          <w:rFonts w:ascii="Calibri" w:hAnsi="Calibri"/>
          <w:b w:val="0"/>
          <w:i w:val="0"/>
          <w:sz w:val="21"/>
        </w:rPr>
        <w:t xml:space="preserve"> — Encoder comparison: VSB vs external dataset performance — data-scale hypothesis (`figures_tii/fig3_encoder_scale.png`).</w:t>
      </w:r>
    </w:p>
    <w:p>
      <w:pPr>
        <w:spacing w:before="0" w:after="60"/>
        <w:ind w:left="360"/>
      </w:pPr>
      <w:r>
        <w:rPr>
          <w:rFonts w:ascii="Calibri" w:hAnsi="Calibri"/>
          <w:b/>
          <w:i w:val="0"/>
          <w:sz w:val="21"/>
        </w:rPr>
        <w:t>Fig. 4</w:t>
      </w:r>
      <w:r>
        <w:rPr>
          <w:rFonts w:ascii="Calibri" w:hAnsi="Calibri"/>
          <w:b w:val="0"/>
          <w:i w:val="0"/>
          <w:sz w:val="21"/>
        </w:rPr>
        <w:t xml:space="preserve"> — Labeling-cost curve (x: label ratio; y: PR-AUC; VICReg negative result overlaid) (`figures_tii/fig4_labeling_cost.png`).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