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面向配电线路局部放电监测的高性价比可信工业 AI：时频编码与覆盖感知采样、层级弱监督</w:t>
      </w:r>
    </w:p>
    <w:p>
      <w:pPr>
        <w:spacing w:before="0" w:after="40"/>
      </w:pPr>
      <w:r>
        <w:rPr>
          <w:rFonts w:ascii="Times New Roman" w:hAnsi="Times New Roman" w:eastAsia="宋体"/>
          <w:b/>
          <w:i w:val="0"/>
          <w:color w:val="555555"/>
          <w:sz w:val="18"/>
        </w:rPr>
        <w:t>TII 版论文中文稿 v1（2026-08-25）</w:t>
      </w:r>
    </w:p>
    <w:p>
      <w:pPr>
        <w:spacing w:before="0" w:after="40"/>
      </w:pPr>
      <w:r>
        <w:rPr>
          <w:rFonts w:ascii="Times New Roman" w:hAnsi="Times New Roman" w:eastAsia="宋体"/>
          <w:b/>
          <w:i w:val="0"/>
          <w:color w:val="555555"/>
          <w:sz w:val="18"/>
        </w:rPr>
        <w:t>作者：杨上（第一作者，山东大学 2024 级本科生）；张斌（通讯作者，山东大学教授）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目标期刊：IEEE Transactions on Industrial Informatics (TII, IF≈11, 中科院1区Top)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状态：独立投稿（不投 TIM）——论文完全自包含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单位：山东大学（Shandong University）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摘要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配电线路的工业状态监测产生极长、稀疏、弱标注的三相局部放电（PD）信号，其中感知成本、标注成本与评估可信度共同决定可部署性。本文提出一种高性价比且可信的工业 AI 框架，对三个轴进行联合优化。</w:t>
      </w:r>
      <w:r>
        <w:rPr>
          <w:rFonts w:ascii="Times New Roman" w:hAnsi="Times New Roman" w:eastAsia="宋体"/>
          <w:b/>
          <w:i w:val="0"/>
          <w:sz w:val="21"/>
        </w:rPr>
        <w:t>第一</w:t>
      </w:r>
      <w:r>
        <w:rPr>
          <w:rFonts w:ascii="Times New Roman" w:hAnsi="Times New Roman" w:eastAsia="宋体"/>
          <w:b w:val="0"/>
          <w:i w:val="0"/>
          <w:sz w:val="21"/>
        </w:rPr>
        <w:t>，覆盖感知采样方案通过鲁棒事件分数仅提取原始数据的 8.2%（40 MHz 下每相 80 万点信号取 K=8 个窗口），且采样率研究表明感知率可降低 8 倍（40→5 MHz）而检测性能保持 83%——直接降低 ADC 与存储硬件成本。</w:t>
      </w:r>
      <w:r>
        <w:rPr>
          <w:rFonts w:ascii="Times New Roman" w:hAnsi="Times New Roman" w:eastAsia="宋体"/>
          <w:b/>
          <w:i w:val="0"/>
          <w:sz w:val="21"/>
        </w:rPr>
        <w:t>第二</w:t>
      </w:r>
      <w:r>
        <w:rPr>
          <w:rFonts w:ascii="Times New Roman" w:hAnsi="Times New Roman" w:eastAsia="宋体"/>
          <w:b w:val="0"/>
          <w:i w:val="0"/>
          <w:sz w:val="21"/>
        </w:rPr>
        <w:t>，时频窗口编码器（STFT + 2D CNN，167K 参数）取代普通 CNN 骨干，在相同弱监督管线（注意力 MIL + context-concat 三相交互 + noisy-OR）下将 VSB 数据集相位级 PR-AUC 从 0.615 提升至 0.703（±0.025）；轻量 patch Transformer（235K 参数）被证明需要更大数据规模才能发挥优势（外部 46K 样本电机 PD 数据集上 from-scratch PR-AUC 0.998 vs VSB 7.4K 样本上 0.588）——编码器选择的数据规模假设。</w:t>
      </w:r>
      <w:r>
        <w:rPr>
          <w:rFonts w:ascii="Times New Roman" w:hAnsi="Times New Roman" w:eastAsia="宋体"/>
          <w:b/>
          <w:i w:val="0"/>
          <w:sz w:val="21"/>
        </w:rPr>
        <w:t>第三</w:t>
      </w:r>
      <w:r>
        <w:rPr>
          <w:rFonts w:ascii="Times New Roman" w:hAnsi="Times New Roman" w:eastAsia="宋体"/>
          <w:b w:val="0"/>
          <w:i w:val="0"/>
          <w:sz w:val="21"/>
        </w:rPr>
        <w:t>，弱监督设计在仅 50% 相位标签时保留全监督性能的 88%（0.542 vs 0.615）；自监督（VICReg）预训练研究报告诚实的负结果（低标注比例下无增益），精炼了自监督何时有效。</w:t>
      </w:r>
      <w:r>
        <w:rPr>
          <w:rFonts w:ascii="Times New Roman" w:hAnsi="Times New Roman" w:eastAsia="宋体"/>
          <w:b/>
          <w:i w:val="0"/>
          <w:sz w:val="21"/>
        </w:rPr>
        <w:t>第四</w:t>
      </w:r>
      <w:r>
        <w:rPr>
          <w:rFonts w:ascii="Times New Roman" w:hAnsi="Times New Roman" w:eastAsia="宋体"/>
          <w:b w:val="0"/>
          <w:i w:val="0"/>
          <w:sz w:val="21"/>
        </w:rPr>
        <w:t>，泄漏安全评估协议——哈希校验分割锁、一次性盲测与阳性率归一化分析——确保可信的工业结论；外部多数据集验证（电机 PD vs 噪声，45,970 样本；跨设备示波器捕获）确认可迁移性（from-scratch ROC-AUC 0.99+）。该框架面向配电网络的边缘可部署、成本感知且可信的 PD 监测。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关键词</w:t>
      </w:r>
      <w:r>
        <w:rPr>
          <w:rFonts w:ascii="Times New Roman" w:hAnsi="Times New Roman" w:eastAsia="宋体"/>
          <w:b w:val="0"/>
          <w:i w:val="0"/>
          <w:sz w:val="21"/>
        </w:rPr>
        <w:t>：工业人工智能；局部放电监测；覆盖感知采样；时频编码；弱监督学习；采样率优化；可信 AI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一、引言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A. 工业背景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局部放电（PD）是电力设备绝缘劣化的最早征兆 [1], [2]。配电线路的在线 PD 监测记录原始高采样率波形（40 MHz，每相每次测量 80 万采样点），必须逐相、逐测量判定是否存在放电 [3], [4]。在工业规模上为这一任务部署机器学习面临</w:t>
      </w:r>
      <w:r>
        <w:rPr>
          <w:rFonts w:ascii="Times New Roman" w:hAnsi="Times New Roman" w:eastAsia="宋体"/>
          <w:b/>
          <w:i w:val="0"/>
          <w:sz w:val="21"/>
        </w:rPr>
        <w:t>三重成本问题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感知成本</w:t>
      </w:r>
      <w:r>
        <w:rPr>
          <w:rFonts w:ascii="Times New Roman" w:hAnsi="Times New Roman" w:eastAsia="宋体"/>
          <w:b w:val="0"/>
          <w:i w:val="0"/>
          <w:sz w:val="21"/>
        </w:rPr>
        <w:t>：40 MHz 数字化长记录主导 ADC、存储与传输预算；更低的采样率是否足够是一个开放的硬件设计问题。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标注成本</w:t>
      </w:r>
      <w:r>
        <w:rPr>
          <w:rFonts w:ascii="Times New Roman" w:hAnsi="Times New Roman" w:eastAsia="宋体"/>
          <w:b w:val="0"/>
          <w:i w:val="0"/>
          <w:sz w:val="21"/>
        </w:rPr>
        <w:t>：80 万点信号的窗口级标注成本过高；仅存在相位级标签（约 5.9% 阳性相位），需要弱监督学习。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信任成本</w:t>
      </w:r>
      <w:r>
        <w:rPr>
          <w:rFonts w:ascii="Times New Roman" w:hAnsi="Times New Roman" w:eastAsia="宋体"/>
          <w:b w:val="0"/>
          <w:i w:val="0"/>
          <w:sz w:val="21"/>
        </w:rPr>
        <w:t>：评估泄漏虚高报告性能并削弱工业信心；可信的评估协议是采纳的前提。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B. 相关工作与差距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近期 TIM/IEEE 的 PD 检测工作涵盖硬件感知模块 [5]、深度学习模式识别 [6], [7]、基于 Transformer 的多源 PD 识别 [8] 与自监督异常检测 [9]。工业信息学期刊日益强调资产监测的成本感知与可信 AI [10]–[12]。然而，多数现有方法 (i) 处理全长信号或固定片段而未处理采样率设计变量，(ii) 假设全标注窗口，(iii) 未量化评估泄漏。本文处理感知–标注–信任的联合优化，据我们所知，这在先前工业 AI 工作中未被联合处理。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C. 贡献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成本感知采样与硬件率优化</w:t>
      </w:r>
      <w:r>
        <w:rPr>
          <w:rFonts w:ascii="Times New Roman" w:hAnsi="Times New Roman" w:eastAsia="宋体"/>
          <w:b w:val="0"/>
          <w:i w:val="0"/>
          <w:sz w:val="21"/>
        </w:rPr>
        <w:t>：确定性覆盖感知采样方案（鲁棒事件分数；等距锚点 + 事件窗口，K=8，8.2% 数据）加采样率研究（40/20/10/5 MHz），显示 8× 感知成本降低而性能保持 83%。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弱监督的时频编码</w:t>
      </w:r>
      <w:r>
        <w:rPr>
          <w:rFonts w:ascii="Times New Roman" w:hAnsi="Times New Roman" w:eastAsia="宋体"/>
          <w:b w:val="0"/>
          <w:i w:val="0"/>
          <w:sz w:val="21"/>
        </w:rPr>
        <w:t>：STFT+2D-CNN 窗口编码器在相同弱监督管线下将相位 PR-AUC 提升至 0.703；基准测试轻量 patch Transformer，揭示数据规模假设（Transformer 在更多数据下更优）。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标注成本量化</w:t>
      </w:r>
      <w:r>
        <w:rPr>
          <w:rFonts w:ascii="Times New Roman" w:hAnsi="Times New Roman" w:eastAsia="宋体"/>
          <w:b w:val="0"/>
          <w:i w:val="0"/>
          <w:sz w:val="21"/>
        </w:rPr>
        <w:t>：50% 相位标签保留全监督性能的 88%；VICReg 自监督研究诚实报告负结果，精炼自监督何时有效。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可信评估与多数据集验证</w:t>
      </w:r>
      <w:r>
        <w:rPr>
          <w:rFonts w:ascii="Times New Roman" w:hAnsi="Times New Roman" w:eastAsia="宋体"/>
          <w:b w:val="0"/>
          <w:i w:val="0"/>
          <w:sz w:val="21"/>
        </w:rPr>
        <w:t>：哈希校验分割锁、一次性盲测、阳性率归一化分析，以及外部电机 PD/跨设备验证确认可信、可迁移的工业结论。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二、问题定义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设一次测量由三相信号 $x_A, x_B, x_C$ 组成，每相长度 $L = 800{,}000$，采样率 $f_s = 40$ MHz。相位级标签 $y_p \in \{0, 1\}$ 表示相位 $p$ 是否含放电；测量级标签遵循评估指标所用的 noisy-OR 逻辑（任一相放电即测量异常）。训练时仅有相位级标签可用。任务是在三个工业约束下学习逐相位判别器 $f_p: x_p \to \hat{y}_p$（$p \in \{A, B, C\}$）：</w:t>
      </w:r>
      <w:r>
        <w:rPr>
          <w:rFonts w:ascii="Times New Roman" w:hAnsi="Times New Roman" w:eastAsia="宋体"/>
          <w:b/>
          <w:i w:val="0"/>
          <w:sz w:val="21"/>
        </w:rPr>
        <w:t>(C1) 最小感知率</w:t>
      </w:r>
      <w:r>
        <w:rPr>
          <w:rFonts w:ascii="Times New Roman" w:hAnsi="Times New Roman" w:eastAsia="宋体"/>
          <w:b w:val="0"/>
          <w:i w:val="0"/>
          <w:sz w:val="21"/>
        </w:rPr>
        <w:t>（硬件成本）、</w:t>
      </w:r>
      <w:r>
        <w:rPr>
          <w:rFonts w:ascii="Times New Roman" w:hAnsi="Times New Roman" w:eastAsia="宋体"/>
          <w:b/>
          <w:i w:val="0"/>
          <w:sz w:val="21"/>
        </w:rPr>
        <w:t>(C2) 最小标注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（标注成本）与 </w:t>
      </w:r>
      <w:r>
        <w:rPr>
          <w:rFonts w:ascii="Times New Roman" w:hAnsi="Times New Roman" w:eastAsia="宋体"/>
          <w:b/>
          <w:i w:val="0"/>
          <w:sz w:val="21"/>
        </w:rPr>
        <w:t>(C3) 可信评估</w:t>
      </w:r>
      <w:r>
        <w:rPr>
          <w:rFonts w:ascii="Times New Roman" w:hAnsi="Times New Roman" w:eastAsia="宋体"/>
          <w:b w:val="0"/>
          <w:i w:val="0"/>
          <w:sz w:val="21"/>
        </w:rPr>
        <w:t>（信任）。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三、所提框架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color w:val="555555"/>
          <w:sz w:val="18"/>
        </w:rPr>
        <w:t>图 1 框架总览：三相感知 → CAS 采样 → TFE/LPT 编码 → 注意力 MIL → context-concat → noisy-OR，标注三成本轴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A. 覆盖感知采样（CAS）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对每相信号 $x$（长度 $L$），先去中值得到 $\tilde{x}[n] = x[n] - \mathrm{median}(x)$，再逐点计算三类能量特征：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幅值</w:t>
      </w:r>
      <w:r>
        <w:rPr>
          <w:rFonts w:ascii="Times New Roman" w:hAnsi="Times New Roman" w:eastAsia="宋体"/>
          <w:b w:val="0"/>
          <w:i w:val="0"/>
          <w:sz w:val="21"/>
        </w:rPr>
        <w:t>：$a[n] = |\tilde{x}[n]|$；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Teager 能量</w:t>
      </w:r>
      <w:r>
        <w:rPr>
          <w:rFonts w:ascii="Times New Roman" w:hAnsi="Times New Roman" w:eastAsia="宋体"/>
          <w:b w:val="0"/>
          <w:i w:val="0"/>
          <w:sz w:val="21"/>
        </w:rPr>
        <w:t>：$\tau[n] = |\tilde{x}[n]^2 - \tilde{x}[n-1]\tilde{x}[n+1]|$；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差分 RMS</w:t>
      </w:r>
      <w:r>
        <w:rPr>
          <w:rFonts w:ascii="Times New Roman" w:hAnsi="Times New Roman" w:eastAsia="宋体"/>
          <w:b w:val="0"/>
          <w:i w:val="0"/>
          <w:sz w:val="21"/>
        </w:rPr>
        <w:t>：$d[n] = \sqrt{\mathrm{mean}_{m \in W}(\Delta\tilde{x}[m]^2)}$，$|W|=256$（反射填充）。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每类特征 $v$ 定义鲁棒非负 z-score：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1"/>
        </w:rPr>
        <w:t>z(v) = \max\left(\frac{v - \mathrm{median}(v)}{1.4826 \cdot \mathrm{MAD}(v)}, 0\right) \qquad (1)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MAD 退化时回退至平均绝对偏差尺度。事件分数为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1"/>
        </w:rPr>
        <w:t>S[n] = \max(z(a[n]),\, z(\tau[n]),\, z(d[n])) \qquad (2)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确定性采样方案（算法 1）</w:t>
      </w:r>
      <w:r>
        <w:rPr>
          <w:rFonts w:ascii="Times New Roman" w:hAnsi="Times New Roman" w:eastAsia="宋体"/>
          <w:b w:val="0"/>
          <w:i w:val="0"/>
          <w:sz w:val="21"/>
        </w:rPr>
        <w:t>：对每相提取 $K = K_u + K_e = 8$ 个长度 $W = 8{,}192$ 的窗口：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 w:val="0"/>
          <w:i/>
          <w:sz w:val="21"/>
        </w:rPr>
        <w:t>等距锚点</w:t>
      </w:r>
      <w:r>
        <w:rPr>
          <w:rFonts w:ascii="Times New Roman" w:hAnsi="Times New Roman" w:eastAsia="宋体"/>
          <w:b w:val="0"/>
          <w:i w:val="0"/>
          <w:sz w:val="21"/>
        </w:rPr>
        <w:t>（$K_u=4$）：起点最大分离的均匀间隔窗口——保证全信号覆盖；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 w:val="0"/>
          <w:i/>
          <w:sz w:val="21"/>
        </w:rPr>
        <w:t>事件窗口</w:t>
      </w:r>
      <w:r>
        <w:rPr>
          <w:rFonts w:ascii="Times New Roman" w:hAnsi="Times New Roman" w:eastAsia="宋体"/>
          <w:b w:val="0"/>
          <w:i w:val="0"/>
          <w:sz w:val="21"/>
        </w:rPr>
        <w:t>（$K_e=4$）：$S$ 的峰（最小距离 $W/2$），按 $(-S, \text{start})$ 排序，与已选窗口 IoU ≥ 0.5 去重；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 w:val="0"/>
          <w:i/>
          <w:sz w:val="21"/>
        </w:rPr>
        <w:t>分层回退</w:t>
      </w:r>
      <w:r>
        <w:rPr>
          <w:rFonts w:ascii="Times New Roman" w:hAnsi="Times New Roman" w:eastAsia="宋体"/>
          <w:b w:val="0"/>
          <w:i w:val="0"/>
          <w:sz w:val="21"/>
        </w:rPr>
        <w:t>：若选窗不足 $K$ 个，在 256 格网格上按最大最小距离填充。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全部采样参数提交至 SHA-256 锁，使方案确定且可复现。该方案仅处理 $K \cdot W / L = 8.2\%$ 的原始数据。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算法 1</w:t>
      </w:r>
      <w:r>
        <w:rPr>
          <w:rFonts w:ascii="Times New Roman" w:hAnsi="Times New Roman" w:eastAsia="宋体"/>
          <w:b w:val="0"/>
          <w:i w:val="0"/>
          <w:sz w:val="21"/>
        </w:rPr>
        <w:t xml:space="preserve"> 覆盖感知确定性采样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```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输入: x ∈ R^L, K_u = K_e = 4, W = 8192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输出: 窗口集 W, |W| = K_u + K_e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1: W ← ∅; x̃ ← x − median(x)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2: 计算 a, τ, d; S ← max(z(a), z(τ), z(d))      # 式 (2)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3: 阶段 I — 锚点: 放置 K_u 个等距窗口; W ← W ∪ anchors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4: 阶段 II — 事件: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5:   P ← peaks(S, dist_min = W/2, S &gt; 0)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6:   按 (−S, start) 排序 P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7:   for p ∈ P: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8:     s ← clip(peak_p − W/2, 0, L − W)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9:     if 对所有 w ∈ W 有 IoU([s, s+W], w) &lt; 0.5: W ← W ∪ {[s, s+W]}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10:    if |W| = K: break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11: 阶段 III — 回退: while |W| &lt; K: 添加最大最小距离的 256 格窗口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12: return W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```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B. 时频窗口编码器（TFE）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对每个窗口 $\mathbf{w} \in \mathbb{R}^{8192}$，TFE 计算对数幅度 STFT 谱图（256 点 FFT，hop 128，Hann 窗），用三个 2D 卷积块（GroupNorm + SiLU）处理，随后全局平均+最大池化与线性投影：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1"/>
        </w:rPr>
        <w:t>\mathbf{h}_{\mathrm{tf}} = \mathrm{Proj}\big(\mathrm{Pool}\big(\mathrm{CNN}_{2d}\big(\log(1+|\mathrm{STFT}(\mathbf{w})|)\big)\big)\big) \qquad (3)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其中 $\mathbf{h}_{\mathrm{tf}} \in \mathbb{R}^{128}$。完整管线（编码器 + MIL + 交互 + 头）含 </w:t>
      </w:r>
      <w:r>
        <w:rPr>
          <w:rFonts w:ascii="Times New Roman" w:hAnsi="Times New Roman" w:eastAsia="宋体"/>
          <w:b/>
          <w:i w:val="0"/>
          <w:sz w:val="21"/>
        </w:rPr>
        <w:t>167,394 参数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轻量 patch Transformer（LPT，对比）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：窗口切为 128 个 64 采样 token；加入可学习位置嵌入；2 层 Transformer 编码器（$d=96$，4 头，前馈 192，GELU，norm-first）产生 token 表示；全局平均+最大池化投影至 128 维（完整管线 </w:t>
      </w:r>
      <w:r>
        <w:rPr>
          <w:rFonts w:ascii="Times New Roman" w:hAnsi="Times New Roman" w:eastAsia="宋体"/>
          <w:b/>
          <w:i w:val="0"/>
          <w:sz w:val="21"/>
        </w:rPr>
        <w:t>234,594 参数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C. 层级弱监督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窗口到相位注意力 MIL</w:t>
      </w:r>
      <w:r>
        <w:rPr>
          <w:rFonts w:ascii="Times New Roman" w:hAnsi="Times New Roman" w:eastAsia="宋体"/>
          <w:b w:val="0"/>
          <w:i w:val="0"/>
          <w:sz w:val="21"/>
        </w:rPr>
        <w:t>：每相含 $K$ 个窗口嵌入 $\{\mathbf{h}_1, \ldots, \mathbf{h}_K\} \subset \mathbb{R}^{128}$，注意力 MIL [13] 聚合：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1"/>
        </w:rPr>
        <w:t>\alpha_k = \frac{\exp(\mathbf{v}^\top \tanh(\mathbf{W}\mathbf{h}_k))}{\sum_{j=1}^K \exp(\mathbf{v}^\top \tanh(\mathbf{W}\mathbf{h}_j))}, \qquad \mathbf{z}_p = \sum_{k=1}^K \alpha_k \mathbf{h}_k \qquad (4)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Context-concat 三相交互</w:t>
      </w:r>
      <w:r>
        <w:rPr>
          <w:rFonts w:ascii="Times New Roman" w:hAnsi="Times New Roman" w:eastAsia="宋体"/>
          <w:b w:val="0"/>
          <w:i w:val="0"/>
          <w:sz w:val="21"/>
        </w:rPr>
        <w:t>：设 $\mathbf{c} = \frac{1}{3}(\mathbf{z}_A + \mathbf{z}_B + \mathbf{z}_C)$ 为全局相位上下文；每相表示与上下文拼接并分类：</w:t>
      </w:r>
    </w:p>
    <w:p>
      <w:pPr>
        <w:jc w:val="center"/>
      </w:pPr>
      <w:r>
        <w:rPr>
          <w:rFonts w:ascii="Cambria Math" w:hAnsi="Cambria Math" w:eastAsia="宋体"/>
          <w:b w:val="0"/>
          <w:i/>
          <w:sz w:val="21"/>
        </w:rPr>
        <w:t>\hat{y}_p = \sigma\big(\mathbf{w}_p^\top [\mathbf{z}_p, \mathbf{c}] + b_p\big) \qquad (5)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测量级推理</w:t>
      </w:r>
      <w:r>
        <w:rPr>
          <w:rFonts w:ascii="Times New Roman" w:hAnsi="Times New Roman" w:eastAsia="宋体"/>
          <w:b w:val="0"/>
          <w:i w:val="0"/>
          <w:sz w:val="21"/>
        </w:rPr>
        <w:t>：确定性 noisy-OR：$\hat{y}_{\mathrm{meas}} = 1 - \prod_p (1 - \hat{y}_p)$。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损失</w:t>
      </w:r>
      <w:r>
        <w:rPr>
          <w:rFonts w:ascii="Times New Roman" w:hAnsi="Times New Roman" w:eastAsia="宋体"/>
          <w:b w:val="0"/>
          <w:i w:val="0"/>
          <w:sz w:val="21"/>
        </w:rPr>
        <w:t>：相位级二元交叉熵：$\mathcal{L} = \sum_p \mathrm{BCE}(\hat{y}_p, y_p)$。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D. 可信评估协议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泄漏审计</w:t>
      </w:r>
      <w:r>
        <w:rPr>
          <w:rFonts w:ascii="Times New Roman" w:hAnsi="Times New Roman" w:eastAsia="宋体"/>
          <w:b w:val="0"/>
          <w:i w:val="0"/>
          <w:sz w:val="21"/>
        </w:rPr>
        <w:t>：扫描 56 个历史预测文件；158 个污染候选被降级。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分割锁</w:t>
      </w:r>
      <w:r>
        <w:rPr>
          <w:rFonts w:ascii="Times New Roman" w:hAnsi="Times New Roman" w:eastAsia="宋体"/>
          <w:b w:val="0"/>
          <w:i w:val="0"/>
          <w:sz w:val="21"/>
        </w:rPr>
        <w:t>：开发（2,481）/盲测（423）分割与全部管线参数提交至 SHA-256 哈希校验锁；新分割（IR、采样率）各自建锁。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一次性盲测</w:t>
      </w:r>
      <w:r>
        <w:rPr>
          <w:rFonts w:ascii="Times New Roman" w:hAnsi="Times New Roman" w:eastAsia="宋体"/>
          <w:b w:val="0"/>
          <w:i w:val="0"/>
          <w:sz w:val="21"/>
        </w:rPr>
        <w:t>：冻结模型在保留分块上恰好评估一次，防篡改收据绑定协议锁与检查点哈希。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阳性率归一化分析</w:t>
      </w:r>
      <w:r>
        <w:rPr>
          <w:rFonts w:ascii="Times New Roman" w:hAnsi="Times New Roman" w:eastAsia="宋体"/>
          <w:b w:val="0"/>
          <w:i w:val="0"/>
          <w:sz w:val="21"/>
        </w:rPr>
        <w:t>：解析 PR 重加权将表观 PR-AUC 差距分解为阳性率效应与真实域偏移。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测量聚类 bootstrap</w:t>
      </w:r>
      <w:r>
        <w:rPr>
          <w:rFonts w:ascii="Times New Roman" w:hAnsi="Times New Roman" w:eastAsia="宋体"/>
          <w:b w:val="0"/>
          <w:i w:val="0"/>
          <w:sz w:val="21"/>
        </w:rPr>
        <w:t>：按测量分层 2,000 次重采样用于置信区间。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四、实验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A. 数据集与协议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数据集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样本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阳性率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VSB (Kaggle 2019) [3]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三相 PD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2,481 开发（7,443 相位）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5.95%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figshare 24033225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电机 PD vs 噪声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45,970 测试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figshare 28523090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示波器 PD（C1→C2）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639/319 测试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跨设备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实现</w:t>
      </w:r>
      <w:r>
        <w:rPr>
          <w:rFonts w:ascii="Times New Roman" w:hAnsi="Times New Roman" w:eastAsia="宋体"/>
          <w:b w:val="0"/>
          <w:i w:val="0"/>
          <w:sz w:val="21"/>
        </w:rPr>
        <w:t>：PyTorch；AdamW（lr 1e-3，wd 1e-4），批 64，最多 40 epoch，早停（patience 15，min delta 0.001）基于验证相位 PR-AUC，梯度裁剪（max-norm 1.0）；StratifiedGroupKFold(5, seed 42) 按测量分组；seeds {42, 7, 2024} 稳定性。指标：PR-AUC 为主（极端不平衡），ROC-AUC、MCC、F1、ECE/Brier 为辅；逐折均值主口径；配对聚类 bootstrap（2,000，按测量聚类）显著性；RTX 4060 Laptop GPU。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B. 主结果（VSB，5 折 CV，逐折均值）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编码器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参数（管线）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相位 PR-AUC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 PR-AUC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编码器前向（8×8 批，CPU）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simple_cnn（基线）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113,265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0.615 ± 0.053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0.643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 ms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**TFE（STFT+2D CNN）**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167,394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**0.703 ± 0.025**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542 ms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LPT（patch Transformer）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234,594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0.588 ± 0.054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0.621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424 ms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TFE</w:t>
      </w:r>
      <w:r>
        <w:rPr>
          <w:rFonts w:ascii="Times New Roman" w:hAnsi="Times New Roman" w:eastAsia="宋体"/>
          <w:b w:val="0"/>
          <w:i w:val="0"/>
          <w:sz w:val="21"/>
        </w:rPr>
        <w:t xml:space="preserve"> 显著优于基线（+0.088 相位 PR-AUC；开发集 OOF 配对聚类 bootstrap，95% CI 排除 0），仅 1.5× 参数——时频表示是 PD 瞬态结构的关键编码器属性。</w:t>
      </w:r>
      <w:r>
        <w:rPr>
          <w:rFonts w:ascii="Times New Roman" w:hAnsi="Times New Roman" w:eastAsia="宋体"/>
          <w:b/>
          <w:i w:val="0"/>
          <w:sz w:val="21"/>
        </w:rPr>
        <w:t>显式效率权衡</w:t>
      </w:r>
      <w:r>
        <w:rPr>
          <w:rFonts w:ascii="Times New Roman" w:hAnsi="Times New Roman" w:eastAsia="宋体"/>
          <w:b w:val="0"/>
          <w:i w:val="0"/>
          <w:sz w:val="21"/>
        </w:rPr>
        <w:t>：TFE 的 STFT 前端在 CPU 上约为 CNN 前向的 8.6×；边缘 GPU 部署缓解此问题（讨论）。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跨编码器统计</w:t>
      </w:r>
      <w:r>
        <w:rPr>
          <w:rFonts w:ascii="Times New Roman" w:hAnsi="Times New Roman" w:eastAsia="宋体"/>
          <w:b w:val="0"/>
          <w:i w:val="0"/>
          <w:sz w:val="21"/>
        </w:rPr>
        <w:t>（配对 bootstrap，seed 42）：TFE vs simple_cnn 相位差 +0.088（95% CI 排除 0）；LPT vs simple_cnn −0.027（CI 含 0）；TFE vs LPT +0.115（CI 排除 0）。三种子均值确认：seeds {42, 7, 2024} 上 TFE 0.70 ± 0.01。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C. 感知成本优化（采样率）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ampling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color w:val="555555"/>
          <w:sz w:val="18"/>
        </w:rPr>
        <w:t>图 2 采样率成本-性能曲线（5 MHz 保持 83%）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采样率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数据量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相位 PR-AUC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 PR-AUC</w:t>
            </w:r>
          </w:p>
        </w:tc>
        <w:tc>
          <w:tcPr>
            <w:tcW w:type="dxa" w:w="1872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保持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 MHz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0.617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0.629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MHz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0.569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0.588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92%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MHz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0.518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0.551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84%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MHz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1/8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0.535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83%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8× 感知成本降低而性能保持 83%</w:t>
      </w:r>
      <w:r>
        <w:rPr>
          <w:rFonts w:ascii="Times New Roman" w:hAnsi="Times New Roman" w:eastAsia="宋体"/>
          <w:b w:val="0"/>
          <w:i w:val="0"/>
          <w:sz w:val="21"/>
        </w:rPr>
        <w:t>——直接的硬件设计指南（ADC 率、存储、传输预算）。40 MHz 行（0.617）与主模型（0.615）在噪声内一致，验证协议。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D. 标注成本量化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abeling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color w:val="555555"/>
          <w:sz w:val="18"/>
        </w:rPr>
        <w:t>图 4 标注成本曲线（叠加 VICReg 负结果）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标注</w:t>
            </w:r>
          </w:p>
        </w:tc>
        <w:tc>
          <w:tcPr>
            <w:tcW w:type="dxa" w:w="312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相位 PR-AUC</w:t>
            </w:r>
          </w:p>
        </w:tc>
        <w:tc>
          <w:tcPr>
            <w:tcW w:type="dxa" w:w="312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vs 100%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5%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0.272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0.346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0.377 ± 0.021（3 个标注种子）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0.542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**88%**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0.615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自监督（VICReg）负结果</w:t>
      </w:r>
      <w:r>
        <w:rPr>
          <w:rFonts w:ascii="Times New Roman" w:hAnsi="Times New Roman" w:eastAsia="宋体"/>
          <w:b w:val="0"/>
          <w:i w:val="0"/>
          <w:sz w:val="21"/>
        </w:rPr>
        <w:t>：预训练未改善低标注微调（5%：0.202 vs 0.272；10%：0.285 vs 0.346；20%：0.361 vs 0.377）——窗口级自监督表示与相位级弱监督任务错位；诚实报告精炼了自监督何时有效。VICReg 细节：全部开发窗口上 40-epoch 预训练，4 种增强（时间偏移 ±128、幅值 0.9–1.1、噪声 20–40 dB、频域掩蔽），方差/不变性/协方差损失（25/25/1）。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E. 外部多数据集验证（figshare 24033225）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ncoder_sc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color w:val="555555"/>
          <w:sz w:val="18"/>
        </w:rPr>
        <w:t>图 3 编码器对比：VSB vs 外部数据集——数据规模假设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编码器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零样本 ROC/PR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from-scratch ROC/PR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fine-tune ROC/PR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simple_cnn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0.776/0.812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0.991/0.993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0.987/0.990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**LPT**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0.729/0.669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**0.998/0.998**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**0.997/0.998**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数据规模假设确认</w:t>
      </w:r>
      <w:r>
        <w:rPr>
          <w:rFonts w:ascii="Times New Roman" w:hAnsi="Times New Roman" w:eastAsia="宋体"/>
          <w:b w:val="0"/>
          <w:i w:val="0"/>
          <w:sz w:val="21"/>
        </w:rPr>
        <w:t>：Transformer（7.4K 样本 VSB 上较弱）在 46K 样本外部数据集上成为最佳编码器（0.998 from-scratch vs 0.991 CNN）——编码器选择依赖数据规模；TFE 在小型工业数据规模下仍是成本高效选择。</w:t>
      </w:r>
    </w:p>
    <w:p>
      <w:pPr>
        <w:spacing w:before="0" w:after="120"/>
      </w:pPr>
      <w:r>
        <w:rPr>
          <w:rFonts w:ascii="Times New Roman" w:hAnsi="Times New Roman" w:eastAsia="宋体"/>
          <w:b/>
          <w:i w:val="0"/>
          <w:sz w:val="21"/>
        </w:rPr>
        <w:t>跨设备验证（figshare 28523090，示波器捕获，C1→C2）</w:t>
      </w:r>
      <w:r>
        <w:rPr>
          <w:rFonts w:ascii="Times New Roman" w:hAnsi="Times New Roman" w:eastAsia="宋体"/>
          <w:b w:val="0"/>
          <w:i w:val="0"/>
          <w:sz w:val="21"/>
        </w:rPr>
        <w:t>：E4 主模型（simple_cnn 编码器）在冻结外部协议下评估（零样本 / from-scratch / fine-tune，C1 训练模型在 C2 设备上评估）：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零样本 ROC/PR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from-scratch ROC/PR</w:t>
            </w:r>
          </w:p>
        </w:tc>
        <w:tc>
          <w:tcPr>
            <w:tcW w:type="dxa" w:w="2340"/>
            <w:vAlign w:val="center"/>
            <w:shd w:val="clear" w:fill="F4F6F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fine-tune ROC/PR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 vs background（C2，n=160）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0.493 / 0.665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0.641 / 0.815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**0.832 / 0.919**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 vs corona（C2，n=213）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0.635 / 0.624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0.982 / 0.981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**0.988 / 0.988**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跨采集设备零样本迁移失效（ROC ≈ 0.49–0.64），但少量目标域数据即可恢复强性能（fine-tune ROC 0.83–0.99，超过历史 80k 模型的 0.80–0.91）——部署启示是传感链变化时需要现场标定数据，与工业逐站点调试实践一致（脚本 `tii_28523090_e4_3arm.py`；输出 `results/tii_external/summary_28523090_e4.json`）。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F. 鲁棒性、基线与统计功效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E4/TFE 扰动鲁棒性</w:t>
      </w:r>
      <w:r>
        <w:rPr>
          <w:rFonts w:ascii="Times New Roman" w:hAnsi="Times New Roman" w:eastAsia="宋体"/>
          <w:b w:val="0"/>
          <w:i w:val="0"/>
          <w:sz w:val="21"/>
        </w:rPr>
        <w:t>：5 dB 噪声 +3.7%（抗噪，历史主模型为 −67%），幅值 ≈0%，时间偏移 −47~−73%（时间对齐仍是最弱点；增强缓解至 ±3%）。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经典检测器基线</w:t>
      </w:r>
      <w:r>
        <w:rPr>
          <w:rFonts w:ascii="Times New Roman" w:hAnsi="Times New Roman" w:eastAsia="宋体"/>
          <w:b w:val="0"/>
          <w:i w:val="0"/>
          <w:sz w:val="21"/>
        </w:rPr>
        <w:t>：能量 0.055 / 冲击性 0.104 / 频谱 0.088 / PRPD+LR 0.323 相位 PR-AUC vs TFE 0.703——一个数量级的差距隔离了学习型弱监督的价值。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统计功效分析</w:t>
      </w:r>
      <w:r>
        <w:rPr>
          <w:rFonts w:ascii="Times New Roman" w:hAnsi="Times New Roman" w:eastAsia="宋体"/>
          <w:b w:val="0"/>
          <w:i w:val="0"/>
          <w:sz w:val="21"/>
        </w:rPr>
        <w:t>：测量级最小可分辨差异（4 阳性 ≈ 0.57；31 ≈ 0.21；163 ≈ 0.09）量化测量级陈述何时为探索性。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阳性率归一化分析</w:t>
      </w:r>
      <w:r>
        <w:rPr>
          <w:rFonts w:ascii="Times New Roman" w:hAnsi="Times New Roman" w:eastAsia="宋体"/>
          <w:b w:val="0"/>
          <w:i w:val="0"/>
          <w:sz w:val="21"/>
        </w:rPr>
        <w:t>：表观独立集 PR-AUC 下降分解为阳性率效应（Δπ = −0.242，≈77%）与真实域偏移（Δshift = −0.073，≈23%），阳性率归一化提升比 13.8× vs 开发集 10.3×。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五、讨论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A. 感知–标注–信任联合优化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每个轴都有定量杠杆：</w:t>
      </w:r>
      <w:r>
        <w:rPr>
          <w:rFonts w:ascii="Times New Roman" w:hAnsi="Times New Roman" w:eastAsia="宋体"/>
          <w:b/>
          <w:i w:val="0"/>
          <w:sz w:val="21"/>
        </w:rPr>
        <w:t>感知率</w:t>
      </w:r>
      <w:r>
        <w:rPr>
          <w:rFonts w:ascii="Times New Roman" w:hAnsi="Times New Roman" w:eastAsia="宋体"/>
          <w:b w:val="0"/>
          <w:i w:val="0"/>
          <w:sz w:val="21"/>
        </w:rPr>
        <w:t>（83% 性能下 8× 成本降低）、</w:t>
      </w:r>
      <w:r>
        <w:rPr>
          <w:rFonts w:ascii="Times New Roman" w:hAnsi="Times New Roman" w:eastAsia="宋体"/>
          <w:b/>
          <w:i w:val="0"/>
          <w:sz w:val="21"/>
        </w:rPr>
        <w:t>标注比例</w:t>
      </w:r>
      <w:r>
        <w:rPr>
          <w:rFonts w:ascii="Times New Roman" w:hAnsi="Times New Roman" w:eastAsia="宋体"/>
          <w:b w:val="0"/>
          <w:i w:val="0"/>
          <w:sz w:val="21"/>
        </w:rPr>
        <w:t>（88% 性能下 50% 标签）与</w:t>
      </w:r>
      <w:r>
        <w:rPr>
          <w:rFonts w:ascii="Times New Roman" w:hAnsi="Times New Roman" w:eastAsia="宋体"/>
          <w:b/>
          <w:i w:val="0"/>
          <w:sz w:val="21"/>
        </w:rPr>
        <w:t>评估可信度</w:t>
      </w:r>
      <w:r>
        <w:rPr>
          <w:rFonts w:ascii="Times New Roman" w:hAnsi="Times New Roman" w:eastAsia="宋体"/>
          <w:b w:val="0"/>
          <w:i w:val="0"/>
          <w:sz w:val="21"/>
        </w:rPr>
        <w:t>（带归一化分析的泄漏安全协议）。它们共同定义可部署性设计空间：例如，10 MHz / 20% 标签配置在 1/4 感知与 1/5 标注成本下保留 ≈84% × ≈61% ≈ 51% 的全性能——具体的工业权衡菜单。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B. 编码器选择的数据规模假设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TFE 在小数据下胜出（VSB：0.703 vs 0.588）；LPT 在更大数据下胜出（外部：0.998 vs 0.991）。我们假设 Transformer 容量仅在超过数据规模阈值后才有回报——工业编码器选择的实用指导。VICReg 负结果进一步表明，在小规模下预训练无法替代任务对齐的监督。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C. 部署路径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TFE 的 STFT 前端在 CPU 上是计算瓶颈（每 8×8 批 542 ms），但在边缘 GPU 上并行良好；采样方案将输入减少 12×（K=8 of 96 窗口当量），5 MHz 感知再减少原始输入 8×——组合管线边缘可行。部署时推荐时间偏移增强。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1F4D78"/>
          <w:sz w:val="24"/>
        </w:rPr>
        <w:t>D. 局限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单一主工业数据集（VSB）；跨设备零样本迁移仍受限（需目标域微调）；时间偏移敏感需增强；VICReg 式自监督未奏效，不应假设其有益。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六、结论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我们提出了一种面向 PD 监测的高性价比且可信的工业 AI 框架：覆盖感知采样实现 8× 感知成本降低，时频编码将 VSB 性能提升至 0.703 PR-AUC，弱监督在减半标签下保留 88%，诚实的自监督负结果，以及泄漏安全的多数据集验证。该框架为在配电网络中部署可信、低成本的 PD 监测提供了具体设计杠杆。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参考文献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[1] G. C. Stone, "Partial discharge diagnostics and electrical equipment insulation condition assessment," </w:t>
      </w:r>
      <w:r>
        <w:rPr>
          <w:rFonts w:ascii="Times New Roman" w:hAnsi="Times New Roman" w:eastAsia="宋体"/>
          <w:b w:val="0"/>
          <w:i/>
          <w:sz w:val="21"/>
        </w:rPr>
        <w:t>IEEE Trans. Dielectr. Electr. Insul.</w:t>
      </w:r>
      <w:r>
        <w:rPr>
          <w:rFonts w:ascii="Times New Roman" w:hAnsi="Times New Roman" w:eastAsia="宋体"/>
          <w:b w:val="0"/>
          <w:i w:val="0"/>
          <w:sz w:val="21"/>
        </w:rPr>
        <w:t>, vol. 12, no. 5, pp. 891–904, 2005.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[2] W. J. K. Raymond et al., "Partial discharge classifications: Review of recent progress," </w:t>
      </w:r>
      <w:r>
        <w:rPr>
          <w:rFonts w:ascii="Times New Roman" w:hAnsi="Times New Roman" w:eastAsia="宋体"/>
          <w:b w:val="0"/>
          <w:i/>
          <w:sz w:val="21"/>
        </w:rPr>
        <w:t>Measurement</w:t>
      </w:r>
      <w:r>
        <w:rPr>
          <w:rFonts w:ascii="Times New Roman" w:hAnsi="Times New Roman" w:eastAsia="宋体"/>
          <w:b w:val="0"/>
          <w:i w:val="0"/>
          <w:sz w:val="21"/>
        </w:rPr>
        <w:t>, vol. 68, pp. 164–181, 2015.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[3] VSB Power Line Fault Detection, Kaggle Competition, 2019.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[4] IEC 60270 / IEC TS 62478, partial discharge measurement standards.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[5] External PD detection via low-noise UHF sensor module, </w:t>
      </w:r>
      <w:r>
        <w:rPr>
          <w:rFonts w:ascii="Times New Roman" w:hAnsi="Times New Roman" w:eastAsia="宋体"/>
          <w:b w:val="0"/>
          <w:i/>
          <w:sz w:val="21"/>
        </w:rPr>
        <w:t>IEEE Trans. Instrum. Meas.</w:t>
      </w:r>
      <w:r>
        <w:rPr>
          <w:rFonts w:ascii="Times New Roman" w:hAnsi="Times New Roman" w:eastAsia="宋体"/>
          <w:b w:val="0"/>
          <w:i w:val="0"/>
          <w:sz w:val="21"/>
        </w:rPr>
        <w:t>, 2023.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[6] J. Zheng et al., "GIS partial discharge pattern recognition based on time-frequency features and improved CNN," </w:t>
      </w:r>
      <w:r>
        <w:rPr>
          <w:rFonts w:ascii="Times New Roman" w:hAnsi="Times New Roman" w:eastAsia="宋体"/>
          <w:b w:val="0"/>
          <w:i/>
          <w:sz w:val="21"/>
        </w:rPr>
        <w:t>Energies</w:t>
      </w:r>
      <w:r>
        <w:rPr>
          <w:rFonts w:ascii="Times New Roman" w:hAnsi="Times New Roman" w:eastAsia="宋体"/>
          <w:b w:val="0"/>
          <w:i w:val="0"/>
          <w:sz w:val="21"/>
        </w:rPr>
        <w:t>, vol. 15, p. 7372, 2022.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[7] Z. Fei et al., "Partial discharge pattern recognition based on ensembled simple CNN and quadratic SVM," </w:t>
      </w:r>
      <w:r>
        <w:rPr>
          <w:rFonts w:ascii="Times New Roman" w:hAnsi="Times New Roman" w:eastAsia="宋体"/>
          <w:b w:val="0"/>
          <w:i/>
          <w:sz w:val="21"/>
        </w:rPr>
        <w:t>Energies</w:t>
      </w:r>
      <w:r>
        <w:rPr>
          <w:rFonts w:ascii="Times New Roman" w:hAnsi="Times New Roman" w:eastAsia="宋体"/>
          <w:b w:val="0"/>
          <w:i w:val="0"/>
          <w:sz w:val="21"/>
        </w:rPr>
        <w:t>, vol. 17, p. 2443, 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[8] Detection Transformer-based deep learning for multisource PD recognition, 2023–2024.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>[9] Self-supervised temporal contrastive learning for PD anomaly detection, 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[10] L. Liu et al., "Flexible generalized demodulation for intelligent bearing fault diagnosis under nonstationary conditions," </w:t>
      </w:r>
      <w:r>
        <w:rPr>
          <w:rFonts w:ascii="Times New Roman" w:hAnsi="Times New Roman" w:eastAsia="宋体"/>
          <w:b w:val="0"/>
          <w:i/>
          <w:sz w:val="21"/>
        </w:rPr>
        <w:t>IEEE Trans. Ind. Informat.</w:t>
      </w:r>
      <w:r>
        <w:rPr>
          <w:rFonts w:ascii="Times New Roman" w:hAnsi="Times New Roman" w:eastAsia="宋体"/>
          <w:b w:val="0"/>
          <w:i w:val="0"/>
          <w:sz w:val="21"/>
        </w:rPr>
        <w:t>, 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[11] "Lifelong monitoring of bearing-rotor systems over whole life cycle: An emerging paradigm," </w:t>
      </w:r>
      <w:r>
        <w:rPr>
          <w:rFonts w:ascii="Times New Roman" w:hAnsi="Times New Roman" w:eastAsia="宋体"/>
          <w:b w:val="0"/>
          <w:i/>
          <w:sz w:val="21"/>
        </w:rPr>
        <w:t>IEEE Trans. Ind. Informat.</w:t>
      </w:r>
      <w:r>
        <w:rPr>
          <w:rFonts w:ascii="Times New Roman" w:hAnsi="Times New Roman" w:eastAsia="宋体"/>
          <w:b w:val="0"/>
          <w:i w:val="0"/>
          <w:sz w:val="21"/>
        </w:rPr>
        <w:t>, 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[12] "Physics-inspired sparse voiceprint sensing for bearing fault diagnosis," </w:t>
      </w:r>
      <w:r>
        <w:rPr>
          <w:rFonts w:ascii="Times New Roman" w:hAnsi="Times New Roman" w:eastAsia="宋体"/>
          <w:b w:val="0"/>
          <w:i/>
          <w:sz w:val="21"/>
        </w:rPr>
        <w:t>IEEE Trans. Ind. Informat.</w:t>
      </w:r>
      <w:r>
        <w:rPr>
          <w:rFonts w:ascii="Times New Roman" w:hAnsi="Times New Roman" w:eastAsia="宋体"/>
          <w:b w:val="0"/>
          <w:i w:val="0"/>
          <w:sz w:val="21"/>
        </w:rPr>
        <w:t>, 2024.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[13] M. Ilse, J. M. Tomczak, and M. Welling, "Attention-based deep multiple instance learning," </w:t>
      </w:r>
      <w:r>
        <w:rPr>
          <w:rFonts w:ascii="Times New Roman" w:hAnsi="Times New Roman" w:eastAsia="宋体"/>
          <w:b w:val="0"/>
          <w:i/>
          <w:sz w:val="21"/>
        </w:rPr>
        <w:t>ICML</w:t>
      </w:r>
      <w:r>
        <w:rPr>
          <w:rFonts w:ascii="Times New Roman" w:hAnsi="Times New Roman" w:eastAsia="宋体"/>
          <w:b w:val="0"/>
          <w:i w:val="0"/>
          <w:sz w:val="21"/>
        </w:rPr>
        <w:t>, 2018.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[14] A. Bardes, J. Ponce, and Y. LeCun, "VICReg: Variance-invariance-covariance regularization for self-supervised learning," </w:t>
      </w:r>
      <w:r>
        <w:rPr>
          <w:rFonts w:ascii="Times New Roman" w:hAnsi="Times New Roman" w:eastAsia="宋体"/>
          <w:b w:val="0"/>
          <w:i/>
          <w:sz w:val="21"/>
        </w:rPr>
        <w:t>ICLR</w:t>
      </w:r>
      <w:r>
        <w:rPr>
          <w:rFonts w:ascii="Times New Roman" w:hAnsi="Times New Roman" w:eastAsia="宋体"/>
          <w:b w:val="0"/>
          <w:i w:val="0"/>
          <w:sz w:val="21"/>
        </w:rPr>
        <w:t>, 2022.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[15] S. Misak et al., "Problems associated with covered conductor fault detection," </w:t>
      </w:r>
      <w:r>
        <w:rPr>
          <w:rFonts w:ascii="Times New Roman" w:hAnsi="Times New Roman" w:eastAsia="宋体"/>
          <w:b w:val="0"/>
          <w:i/>
          <w:sz w:val="21"/>
        </w:rPr>
        <w:t>EPQU</w:t>
      </w:r>
      <w:r>
        <w:rPr>
          <w:rFonts w:ascii="Times New Roman" w:hAnsi="Times New Roman" w:eastAsia="宋体"/>
          <w:b w:val="0"/>
          <w:i w:val="0"/>
          <w:sz w:val="21"/>
        </w:rPr>
        <w:t>, 2011.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[16] G. M. Hashmi and M. Lehtonen, "On-line PD detection for condition monitoring of covered-conductor overhead distribution networks," </w:t>
      </w:r>
      <w:r>
        <w:rPr>
          <w:rFonts w:ascii="Times New Roman" w:hAnsi="Times New Roman" w:eastAsia="宋体"/>
          <w:b w:val="0"/>
          <w:i/>
          <w:sz w:val="21"/>
        </w:rPr>
        <w:t>ICEE</w:t>
      </w:r>
      <w:r>
        <w:rPr>
          <w:rFonts w:ascii="Times New Roman" w:hAnsi="Times New Roman" w:eastAsia="宋体"/>
          <w:b w:val="0"/>
          <w:i w:val="0"/>
          <w:sz w:val="21"/>
        </w:rPr>
        <w:t>, 2008.</w:t>
      </w:r>
    </w:p>
    <w:p>
      <w:pPr>
        <w:keepNext/>
        <w:spacing w:before="240" w:after="160"/>
      </w:pPr>
      <w:r>
        <w:rPr>
          <w:rFonts w:ascii="Times New Roman" w:hAnsi="Times New Roman" w:eastAsia="黑体"/>
          <w:b/>
          <w:i w:val="0"/>
          <w:color w:val="2E74B5"/>
          <w:sz w:val="28"/>
        </w:rPr>
        <w:t>图（Figures）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图 1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框架总览：三相感知 → CAS 采样（K=8，8.2% 数据）→ TFE/LPT 编码 → 注意力 MIL → context-concat → noisy-OR 决策；标注三成本轴（感知率、标注比例、泄漏安全评估）（`figures_tii/fig1_framework.png`）。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图 2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采样率成本-性能曲线（x：采样率；y：PR-AUC；5 MHz 保持 83%）（`figures_tii/fig2_sampling_rate.png`）。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图 3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编码器对比：VSB vs 外部数据集性能——数据规模假设（`figures_tii/fig3_encoder_scale.png`）。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b/>
          <w:i w:val="0"/>
          <w:sz w:val="21"/>
        </w:rPr>
        <w:t>图 4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标注成本曲线（x：标注比例；y：PR-AUC；叠加 VICReg 负结果）（`figures_tii/fig4_labeling_cost.png`）。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