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eastAsia="黑体"/>
          <w:b/>
          <w:i w:val="0"/>
          <w:color w:val="2E74B5"/>
          <w:sz w:val="32"/>
        </w:rPr>
        <w:t>面向三相局部放电监测的测量成本感知采样与层级弱监督检测</w:t>
      </w:r>
    </w:p>
    <w:p>
      <w:pPr>
        <w:spacing w:before="0" w:after="40"/>
      </w:pPr>
      <w:r>
        <w:rPr>
          <w:rFonts w:ascii="Times New Roman" w:hAnsi="Times New Roman" w:eastAsia="宋体"/>
          <w:b/>
          <w:i w:val="0"/>
          <w:color w:val="555555"/>
          <w:sz w:val="18"/>
        </w:rPr>
        <w:t>IEEE TIM 中文正式稿</w:t>
      </w:r>
      <w:r>
        <w:rPr>
          <w:rFonts w:ascii="Times New Roman" w:hAnsi="Times New Roman" w:eastAsia="宋体"/>
          <w:b w:val="0"/>
          <w:i w:val="0"/>
          <w:color w:val="555555"/>
          <w:sz w:val="18"/>
        </w:rPr>
        <w:t>（2026-08-25）</w:t>
      </w:r>
    </w:p>
    <w:p>
      <w:pPr>
        <w:spacing w:before="0" w:after="40"/>
      </w:pPr>
      <w:r>
        <w:rPr>
          <w:rFonts w:ascii="Times New Roman" w:hAnsi="Times New Roman" w:eastAsia="宋体"/>
          <w:b w:val="0"/>
          <w:i w:val="0"/>
          <w:color w:val="555555"/>
          <w:sz w:val="18"/>
        </w:rPr>
        <w:t>对应英文稿：`docs/paper_draft_en_v2.md`（含全部补充实验）</w:t>
      </w:r>
    </w:p>
    <w:p>
      <w:pPr>
        <w:spacing w:before="0" w:after="40"/>
      </w:pPr>
      <w:r>
        <w:rPr>
          <w:rFonts w:ascii="Times New Roman" w:hAnsi="Times New Roman" w:eastAsia="宋体"/>
          <w:b w:val="0"/>
          <w:i w:val="0"/>
          <w:color w:val="555555"/>
          <w:sz w:val="18"/>
        </w:rPr>
        <w:t>目标期刊：IEEE Transactions on Instrumentation and Measurement（IF≈5.6，中科院2区Top）</w:t>
      </w:r>
    </w:p>
    <w:p>
      <w:pPr>
        <w:spacing w:before="0" w:after="40"/>
      </w:pPr>
      <w:r>
        <w:rPr>
          <w:rFonts w:ascii="Times New Roman" w:hAnsi="Times New Roman" w:eastAsia="宋体"/>
          <w:b w:val="0"/>
          <w:i w:val="0"/>
          <w:color w:val="555555"/>
          <w:sz w:val="18"/>
        </w:rPr>
        <w:t>本稿为中文投稿底稿，正式投稿时提交英文版（paper_draft_en_v2.md → IEEEtran）</w:t>
      </w:r>
    </w:p>
    <w:p>
      <w:pPr>
        <w:keepNext/>
        <w:spacing w:before="240" w:after="160"/>
      </w:pPr>
      <w:r>
        <w:rPr>
          <w:rFonts w:ascii="Times New Roman" w:hAnsi="Times New Roman" w:eastAsia="黑体"/>
          <w:b/>
          <w:i w:val="0"/>
          <w:color w:val="2E74B5"/>
          <w:sz w:val="28"/>
        </w:rPr>
        <w:t>摘要</w:t>
      </w:r>
    </w:p>
    <w:p>
      <w:pPr>
        <w:spacing w:before="0" w:after="120"/>
      </w:pPr>
      <w:r>
        <w:rPr>
          <w:rFonts w:ascii="Times New Roman" w:hAnsi="Times New Roman" w:eastAsia="宋体"/>
          <w:b w:val="0"/>
          <w:i w:val="0"/>
          <w:sz w:val="21"/>
        </w:rPr>
        <w:t>配电线路局部放电（PD）在线监测产生极长、稀疏、弱标注的三相测量信号：每相以 40 MHz 采样、单次测量 80 万点，放电瞬态仅占极短时域区间，且因窗口级标注成本过高仅存在相位级标签（阳性率约 5.9%）。本文提出一种测量成本感知框架，联合优化采样、标注与检测三个环节。首先，定义鲁棒事件分数（幅值、Teager 能量与差分 RMS 的非负鲁棒 z-score），并设计确定性的覆盖感知采样方案——通过等距锚点与事件窗口（含跨类型去重）从每相 80 万点信号中仅提取 K=8 个短窗口（仅处理 8.2% 原始数据）。其次，构建层级弱监督检测器：轻量 CNN 编码器（总参数 113,265，推理执行 97,201）、注意力多示例学习（MIL）与 context-concat 三相交互将窗口映射为逐相位概率，经确定性 noisy-OR 聚合得到测量级判决。在 VSB 数据集（2,481 个开发测量）上，主模型在 5 折交叉验证中达到逐相位 PR-AUC 0.615 ± 0.053、测量级 0.643 ± 0.053，相对最强传统机器学习基线绝对提升 +0.409，同时仅需 62.8M MACs 与 5.35 ms GPU 单样本前向延迟。在独立保留分块（83,233 个相位信号）上的一次性盲测获得 ROC-AUC 0.899，且阳性率归一化提升比（13.8× vs 开发集 10.3×）表明判别能力保持。哈希校验分割锁与一次性评估协议保证了无泄漏、可复现的结论。</w:t>
      </w:r>
    </w:p>
    <w:p>
      <w:pPr>
        <w:spacing w:before="0" w:after="120"/>
      </w:pPr>
      <w:r>
        <w:rPr>
          <w:rFonts w:ascii="Times New Roman" w:hAnsi="Times New Roman" w:eastAsia="宋体"/>
          <w:b/>
          <w:i w:val="0"/>
          <w:sz w:val="21"/>
        </w:rPr>
        <w:t>关键词</w:t>
      </w:r>
      <w:r>
        <w:rPr>
          <w:rFonts w:ascii="Times New Roman" w:hAnsi="Times New Roman" w:eastAsia="宋体"/>
          <w:b w:val="0"/>
          <w:i w:val="0"/>
          <w:sz w:val="21"/>
        </w:rPr>
        <w:t>：局部放电测量；覆盖感知采样；弱监督学习；多示例学习；三相配电；泄漏安全评估；测量成本</w:t>
      </w:r>
    </w:p>
    <w:p>
      <w:pPr>
        <w:keepNext/>
        <w:spacing w:before="240" w:after="160"/>
      </w:pPr>
      <w:r>
        <w:rPr>
          <w:rFonts w:ascii="Times New Roman" w:hAnsi="Times New Roman" w:eastAsia="黑体"/>
          <w:b/>
          <w:i w:val="0"/>
          <w:color w:val="2E74B5"/>
          <w:sz w:val="28"/>
        </w:rPr>
        <w:t>一、引言</w:t>
      </w:r>
    </w:p>
    <w:p>
      <w:pPr>
        <w:spacing w:before="0" w:after="120"/>
      </w:pPr>
      <w:r>
        <w:rPr>
          <w:rFonts w:ascii="Times New Roman" w:hAnsi="Times New Roman" w:eastAsia="宋体"/>
          <w:b w:val="0"/>
          <w:i w:val="0"/>
          <w:sz w:val="21"/>
        </w:rPr>
        <w:t>局部放电是电力设备绝缘劣化的早期征兆，其准确检测是配电网络状态检修的基石 [1], [2]。PD 诊断已成为本刊及相关期刊的活跃测量主题，包括电动汽车电机绝缘起始电压预测 [3]、中压开关柜基于 CWT 的缺陷分类 [4]、GIS 生成式零样本诊断 [5]；放电模式识别的深度学习方法包括循环网络 [6]、时频 CNN [7] 与集成轻量 CNN [8]。</w:t>
      </w:r>
    </w:p>
    <w:p>
      <w:pPr>
        <w:spacing w:before="0" w:after="120"/>
      </w:pPr>
      <w:r>
        <w:rPr>
          <w:rFonts w:ascii="Times New Roman" w:hAnsi="Times New Roman" w:eastAsia="宋体"/>
          <w:b w:val="0"/>
          <w:i w:val="0"/>
          <w:sz w:val="21"/>
        </w:rPr>
        <w:t>然而，实际在线监测中，PD 测量面临三个层面的联合成本问题：</w:t>
      </w:r>
    </w:p>
    <w:p>
      <w:pPr>
        <w:spacing w:before="0" w:after="60"/>
        <w:ind w:left="360"/>
      </w:pPr>
      <w:r>
        <w:rPr>
          <w:rFonts w:ascii="Times New Roman" w:hAnsi="Times New Roman" w:eastAsia="宋体"/>
          <w:b/>
          <w:i w:val="0"/>
          <w:sz w:val="21"/>
        </w:rPr>
        <w:t>采样成本</w:t>
      </w:r>
      <w:r>
        <w:rPr>
          <w:rFonts w:ascii="Times New Roman" w:hAnsi="Times New Roman" w:eastAsia="宋体"/>
          <w:b w:val="0"/>
          <w:i w:val="0"/>
          <w:sz w:val="21"/>
        </w:rPr>
        <w:t>：信号以 40 MHz 数字化，单相单次测量含 80 万点。放电瞬态在时间上高度稀疏——本文所用 VSB 数据集中仅约 5.9% 的相位信号携带放电标签——因此对整段信号做强监督建模会将绝大部分计算浪费在噪声主导的帧上，且容易被其淹没。</w:t>
      </w:r>
    </w:p>
    <w:p>
      <w:pPr>
        <w:spacing w:before="0" w:after="60"/>
        <w:ind w:left="360"/>
      </w:pPr>
      <w:r>
        <w:rPr>
          <w:rFonts w:ascii="Times New Roman" w:hAnsi="Times New Roman" w:eastAsia="宋体"/>
          <w:b/>
          <w:i w:val="0"/>
          <w:sz w:val="21"/>
        </w:rPr>
        <w:t>标注成本</w:t>
      </w:r>
      <w:r>
        <w:rPr>
          <w:rFonts w:ascii="Times New Roman" w:hAnsi="Times New Roman" w:eastAsia="宋体"/>
          <w:b w:val="0"/>
          <w:i w:val="0"/>
          <w:sz w:val="21"/>
        </w:rPr>
        <w:t>：仅有相位级标签（该相是否放电）或测量级标签（三相信号整体是否异常）可用；窗口级标注不可获得且获取成本极高。弱监督学习必须取代窗口级监督，这一设定与近期半监督测量状态评估工作 [18], [19] 相同。</w:t>
      </w:r>
    </w:p>
    <w:p>
      <w:pPr>
        <w:spacing w:before="0" w:after="60"/>
        <w:ind w:left="360"/>
      </w:pPr>
      <w:r>
        <w:rPr>
          <w:rFonts w:ascii="Times New Roman" w:hAnsi="Times New Roman" w:eastAsia="宋体"/>
          <w:b/>
          <w:i w:val="0"/>
          <w:sz w:val="21"/>
        </w:rPr>
        <w:t>评估成本与可信度</w:t>
      </w:r>
      <w:r>
        <w:rPr>
          <w:rFonts w:ascii="Times New Roman" w:hAnsi="Times New Roman" w:eastAsia="宋体"/>
          <w:b w:val="0"/>
          <w:i w:val="0"/>
          <w:sz w:val="21"/>
        </w:rPr>
        <w:t>：多数已发表方法未显式控制数据泄漏：若同一测量的信号片段无意间同时进入训练集与测试集，结果将虚高且不可复现。泄漏已被 Kaufman 等人形式化 [23]，并被认定为机器学习科学可复现性危机的主要来源 [24]。</w:t>
      </w:r>
    </w:p>
    <w:p>
      <w:pPr>
        <w:spacing w:before="0" w:after="120"/>
      </w:pPr>
      <w:r>
        <w:rPr>
          <w:rFonts w:ascii="Times New Roman" w:hAnsi="Times New Roman" w:eastAsia="宋体"/>
          <w:b w:val="0"/>
          <w:i w:val="0"/>
          <w:sz w:val="21"/>
        </w:rPr>
        <w:t>现有 PD 检测方法大多对固定长度片段或 PRPD 图像建模，很少消融窗口选择方式——而这正是决定性的测量策略环节——也未量化其监督需求的标注成本。用仪器与测量领域的术语来说，测量管线前端的信息选择步骤（在极长稀疏信号中把处理资源放在何处）是一项测量设计决策，类似于自适应采样 [20] 与事件控制采样 [21]，但在 PD 检测中很少被当作一等设计变量对待。</w:t>
      </w:r>
    </w:p>
    <w:p>
      <w:pPr>
        <w:spacing w:before="0" w:after="120"/>
      </w:pPr>
      <w:r>
        <w:rPr>
          <w:rFonts w:ascii="Times New Roman" w:hAnsi="Times New Roman" w:eastAsia="宋体"/>
          <w:b w:val="0"/>
          <w:i w:val="0"/>
          <w:sz w:val="21"/>
        </w:rPr>
        <w:t>为填补上述空白，本文将采样、标注与评估视为联合优化的测量设计变量，作出以下贡献：</w:t>
      </w:r>
    </w:p>
    <w:p>
      <w:pPr>
        <w:spacing w:before="0" w:after="60"/>
        <w:ind w:left="360"/>
      </w:pPr>
      <w:r>
        <w:rPr>
          <w:rFonts w:ascii="Times New Roman" w:hAnsi="Times New Roman" w:eastAsia="宋体"/>
          <w:b/>
          <w:i w:val="0"/>
          <w:sz w:val="21"/>
        </w:rPr>
        <w:t>覆盖感知测量采样</w:t>
      </w:r>
      <w:r>
        <w:rPr>
          <w:rFonts w:ascii="Times New Roman" w:hAnsi="Times New Roman" w:eastAsia="宋体"/>
          <w:b w:val="0"/>
          <w:i w:val="0"/>
          <w:sz w:val="21"/>
        </w:rPr>
        <w:t>：给出鲁棒事件分数的完整数学定义与确定性采样方案（"等距锚点 + 事件窗口 + 跨类型去重 + 分层回退"），从每相 80 万点信号中仅提取 K=8 个短窗口，仅处理约 8.2% 原始数据。固定架构的受控实验表明，事件聚焦与覆盖密度共同决定诊断性能与计算成本之间的权衡——信息选择本身是关键设计变量，而非网络结构。</w:t>
      </w:r>
    </w:p>
    <w:p>
      <w:pPr>
        <w:spacing w:before="0" w:after="60"/>
        <w:ind w:left="360"/>
      </w:pPr>
      <w:r>
        <w:rPr>
          <w:rFonts w:ascii="Times New Roman" w:hAnsi="Times New Roman" w:eastAsia="宋体"/>
          <w:b/>
          <w:i w:val="0"/>
          <w:sz w:val="21"/>
        </w:rPr>
        <w:t>低标注成本的层级弱监督检测</w:t>
      </w:r>
      <w:r>
        <w:rPr>
          <w:rFonts w:ascii="Times New Roman" w:hAnsi="Times New Roman" w:eastAsia="宋体"/>
          <w:b w:val="0"/>
          <w:i w:val="0"/>
          <w:sz w:val="21"/>
        </w:rPr>
        <w:t>：在仅有相位级标签的条件下，通过注意力多示例学习（MIL）将窗口聚合为相位，并经 context-concat 交互输出独立、可排序的逐相位概率；确定性 noisy-OR 得到测量级判决。轻量主模型（纯 CNN 编码器 + 注意力 MIL + context-concat，总参数 113,265 / 推理执行 97,201）在 5 折开发集交叉验证中达到逐相位 PR-AUC 0.615 ± 0.053、测量级 0.643 ± 0.053，且显著优于共享得分与加性交互基线。</w:t>
      </w:r>
    </w:p>
    <w:p>
      <w:pPr>
        <w:spacing w:before="0" w:after="60"/>
        <w:ind w:left="360"/>
      </w:pPr>
      <w:r>
        <w:rPr>
          <w:rFonts w:ascii="Times New Roman" w:hAnsi="Times New Roman" w:eastAsia="宋体"/>
          <w:b/>
          <w:i w:val="0"/>
          <w:sz w:val="21"/>
        </w:rPr>
        <w:t>面向测量的成本刻画</w:t>
      </w:r>
      <w:r>
        <w:rPr>
          <w:rFonts w:ascii="Times New Roman" w:hAnsi="Times New Roman" w:eastAsia="宋体"/>
          <w:b w:val="0"/>
          <w:i w:val="0"/>
          <w:sz w:val="21"/>
        </w:rPr>
        <w:t>：在统一平台上分别报告采样阶段与模型前向的逐组件延迟、MACs、内存与吞吐，显式关联诊断性能、信息覆盖与计算成本，并避免"实时端到端检测"之类的过度表述。</w:t>
      </w:r>
    </w:p>
    <w:p>
      <w:pPr>
        <w:spacing w:before="0" w:after="60"/>
        <w:ind w:left="360"/>
      </w:pPr>
      <w:r>
        <w:rPr>
          <w:rFonts w:ascii="Times New Roman" w:hAnsi="Times New Roman" w:eastAsia="宋体"/>
          <w:b/>
          <w:i w:val="0"/>
          <w:sz w:val="21"/>
        </w:rPr>
        <w:t>泄漏安全、可复现的评估</w:t>
      </w:r>
      <w:r>
        <w:rPr>
          <w:rFonts w:ascii="Times New Roman" w:hAnsi="Times New Roman" w:eastAsia="宋体"/>
          <w:b w:val="0"/>
          <w:i w:val="0"/>
          <w:sz w:val="21"/>
        </w:rPr>
        <w:t>：数据泄漏审计、哈希校验分割锁、一次性盲测协议与冻结的独立保留评估（83,233 个相位信号；ROC-AUC 0.899）确保所有模型选择、超参数与阈值仅由开发集交叉验证决定，结论可复现且无泄漏。</w:t>
      </w:r>
    </w:p>
    <w:p>
      <w:pPr>
        <w:spacing w:before="0" w:after="120"/>
      </w:pPr>
      <w:r>
        <w:rPr>
          <w:rFonts w:ascii="Times New Roman" w:hAnsi="Times New Roman" w:eastAsia="宋体"/>
          <w:b w:val="0"/>
          <w:i w:val="0"/>
          <w:sz w:val="21"/>
        </w:rPr>
        <w:t>本文其余部分组织如下：第二节介绍测量背景、数据与问题定义；第三节给出覆盖感知采样策略；第四节描述层级弱监督检测框架；第五节报告实验，包括消融、鲁棒性、效率与独立测试；第六节分析统计不确定性与指标口径；第七节讨论模块贡献与局限；第八节总结。</w:t>
      </w:r>
    </w:p>
    <w:p>
      <w:pPr>
        <w:keepNext/>
        <w:spacing w:before="240" w:after="160"/>
      </w:pPr>
      <w:r>
        <w:rPr>
          <w:rFonts w:ascii="Times New Roman" w:hAnsi="Times New Roman" w:eastAsia="黑体"/>
          <w:b/>
          <w:i w:val="0"/>
          <w:color w:val="2E74B5"/>
          <w:sz w:val="28"/>
        </w:rPr>
        <w:t>二、测量背景与问题定义</w:t>
      </w:r>
    </w:p>
    <w:p>
      <w:pPr>
        <w:keepNext/>
        <w:spacing w:before="240" w:after="160"/>
      </w:pPr>
      <w:r>
        <w:rPr>
          <w:rFonts w:ascii="Times New Roman" w:hAnsi="Times New Roman" w:eastAsia="黑体"/>
          <w:b/>
          <w:i w:val="0"/>
          <w:color w:val="1F4D78"/>
          <w:sz w:val="24"/>
        </w:rPr>
        <w:t>A. PD 测量背景</w:t>
      </w:r>
    </w:p>
    <w:p>
      <w:pPr>
        <w:spacing w:before="0" w:after="120"/>
      </w:pPr>
      <w:r>
        <w:rPr>
          <w:rFonts w:ascii="Times New Roman" w:hAnsi="Times New Roman" w:eastAsia="宋体"/>
          <w:b w:val="0"/>
          <w:i w:val="0"/>
          <w:sz w:val="21"/>
        </w:rPr>
        <w:t>根据 IEC 60270 [12]，常规 PD 测量在工频受控实验室条件下量化视在电荷。现场中，UHF、TEV 与声学传感（IEC TS 62478 [13]）等非常规方法以安装成本换取灵敏度与定位能力。第三条路径——用于覆盖导体配电线路在线状态监测系统 [9], [10]——直接记录高采样率原始波形并在数字化信号上进行检测。本文遵循波形级路径：测量流为 40 MHz 三相记录，检测系统必须逐相、逐测量判定是否存在 PD。前端问题是把处理资源放在极长稀疏信号的何处；后端问题是如何仅从相位级标签学习；评估问题是如何保证所报告数字不被泄漏虚高。这三个问题定义了本文范围。</w:t>
      </w:r>
    </w:p>
    <w:p>
      <w:pPr>
        <w:keepNext/>
        <w:spacing w:before="240" w:after="160"/>
      </w:pPr>
      <w:r>
        <w:rPr>
          <w:rFonts w:ascii="Times New Roman" w:hAnsi="Times New Roman" w:eastAsia="黑体"/>
          <w:b/>
          <w:i w:val="0"/>
          <w:color w:val="1F4D78"/>
          <w:sz w:val="24"/>
        </w:rPr>
        <w:t>B. 测量数据</w:t>
      </w:r>
    </w:p>
    <w:p>
      <w:pPr>
        <w:spacing w:before="0" w:after="120"/>
      </w:pPr>
      <w:r>
        <w:rPr>
          <w:rFonts w:ascii="Times New Roman" w:hAnsi="Times New Roman" w:eastAsia="宋体"/>
          <w:b w:val="0"/>
          <w:i w:val="0"/>
          <w:sz w:val="21"/>
        </w:rPr>
        <w:t>VSB Power Line Fault Detection 数据集 [11] 提供来自覆盖导体配电线路的 2,904 个三相测量（每相 800,000 个有符号采样 @ 40 MHz）。经对 56 个历史预测文件的系统性数据泄漏审计（158 个污染候选被降级）后，分割锁将 2,481 个测量分配给开发集，423 个严格保留测量分配给盲测集。开发集含 7,443 个相位信号、443 个阳性（5.95%）；盲测集含 1,269 个相位信号、82 个阳性（6.5%）及 31 个阳性测量（7.3%）。此外，同一项目在 Harvard Dataverse 上的独立分块（doi:10.7910/DVN/JYJJ5W）提供 83,233 个相位信号（28,285 个测量；1,308 个阳性，1.57%），从未参与任何训练、选择或调参，并由冻结的最终模型一次性评估（第五节 J）。</w:t>
      </w:r>
    </w:p>
    <w:p>
      <w:pPr>
        <w:spacing w:before="0" w:after="120"/>
      </w:pPr>
      <w:r>
        <w:rPr>
          <w:rFonts w:ascii="Times New Roman" w:hAnsi="Times New Roman" w:eastAsia="宋体"/>
          <w:b/>
          <w:i w:val="0"/>
          <w:sz w:val="21"/>
        </w:rPr>
        <w:t>与原始 Kaggle 竞赛的关系</w:t>
      </w:r>
      <w:r>
        <w:rPr>
          <w:rFonts w:ascii="Times New Roman" w:hAnsi="Times New Roman" w:eastAsia="宋体"/>
          <w:b w:val="0"/>
          <w:i w:val="0"/>
          <w:sz w:val="21"/>
        </w:rPr>
        <w:t>：VSB 竞赛以 Matthews 相关系数（MCC）在标签从未公开的私有测试集上计分，排行榜数字无法与本文所用 PR-AUC 口径逐点比较；本文的 423 测量盲测集是锁定、带标注的严格保留集，而非竞赛测试集。因此，本文仅将公开竞赛方案作为讨论锚点：头部方案依赖特征工程与树集成——最重要的是依赖数据的测量排序/邻域结构（线路沿线相邻测量空间相关），该先验在排行榜上有效，但在单测量在线决策中不可用，且是排行榜剧烈变动（shake-up）争议的根源。本文刻意按测量进行泄漏安全评估，不使用任何排序或邻域先验；这一对比（基于排序的先验 vs 泄漏安全的逐测量评估）是第五节 G 讨论的测量方法学要点。</w:t>
      </w:r>
    </w:p>
    <w:p>
      <w:pPr>
        <w:keepNext/>
        <w:spacing w:before="240" w:after="160"/>
      </w:pPr>
      <w:r>
        <w:rPr>
          <w:rFonts w:ascii="Times New Roman" w:hAnsi="Times New Roman" w:eastAsia="黑体"/>
          <w:b/>
          <w:i w:val="0"/>
          <w:color w:val="1F4D78"/>
          <w:sz w:val="24"/>
        </w:rPr>
        <w:t>C. 问题定义与泄漏安全评估原则</w:t>
      </w:r>
    </w:p>
    <w:p>
      <w:pPr>
        <w:spacing w:before="0" w:after="120"/>
      </w:pPr>
      <w:r>
        <w:rPr>
          <w:rFonts w:ascii="Times New Roman" w:hAnsi="Times New Roman" w:eastAsia="宋体"/>
          <w:b w:val="0"/>
          <w:i w:val="0"/>
          <w:sz w:val="21"/>
        </w:rPr>
        <w:t>设一次测量由三相信号 $x_A, x_B, x_C$ 组成，每相长度 $L = 800{,}000$，采样率 $f_s = 40$ MHz。相位级标签 $y_p \in \{0, 1\}$ 表示相位 $p$ 是否含放电；测量级标签遵循评估指标所用的 noisy-OR 逻辑（任一相放电即测量异常）。训练时仅有相位级标签可用。任务是学习逐相位判别器 $f_p: x_p \rightarrow \hat{y}_p$（$p \in \{A, B, C\}$），并由其确定性派生测量级概率。由于最终交互模块输出独立、可排序的逐相位概率，本文中"相位级 PR-AUC"指对逐相位独立概率的排序评估，测量级判决由层级推理得到。</w:t>
      </w:r>
    </w:p>
    <w:p>
      <w:pPr>
        <w:spacing w:before="0" w:after="120"/>
      </w:pPr>
      <w:r>
        <w:rPr>
          <w:rFonts w:ascii="Times New Roman" w:hAnsi="Times New Roman" w:eastAsia="宋体"/>
          <w:b w:val="0"/>
          <w:i w:val="0"/>
          <w:sz w:val="21"/>
        </w:rPr>
        <w:t>为防止任何形式的评估泄漏，实验管线被显式冻结：(1) 泄漏审计识别并降级污染候选；(2) 哈希校验分割锁（SHA-256）固定折与盲测划分，全部管线参数提交至锁；(3) 所有模型选择、超参数与阈值仅由开发集交叉验证决定；(4) 423 个盲测测量仅由历史锁定主模型评估一次，不因本文报告的结构升级重开；(5) 独立保留分块仅由冻结的最终模型评估一次，并生成防篡改收据。需要说明：SHA-256 保证的是完整性校验（内容变更可检测），本文不宣称密码学意义上的防篡改。</w:t>
      </w:r>
    </w:p>
    <w:p>
      <w:pPr>
        <w:keepNext/>
        <w:spacing w:before="240" w:after="160"/>
      </w:pPr>
      <w:r>
        <w:rPr>
          <w:rFonts w:ascii="Times New Roman" w:hAnsi="Times New Roman" w:eastAsia="黑体"/>
          <w:b/>
          <w:i w:val="0"/>
          <w:color w:val="2E74B5"/>
          <w:sz w:val="28"/>
        </w:rPr>
        <w:t>三、覆盖感知测量采样</w:t>
      </w:r>
    </w:p>
    <w:p>
      <w:pPr>
        <w:jc w:val="center"/>
      </w:pPr>
      <w:r>
        <w:drawing>
          <wp:inline xmlns:a="http://schemas.openxmlformats.org/drawingml/2006/main" xmlns:pic="http://schemas.openxmlformats.org/drawingml/2006/picture">
            <wp:extent cx="5029200" cy="253663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2536630"/>
                    </a:xfrm>
                    <a:prstGeom prst="rect"/>
                  </pic:spPr>
                </pic:pic>
              </a:graphicData>
            </a:graphic>
          </wp:inline>
        </w:drawing>
      </w:r>
    </w:p>
    <w:p>
      <w:pPr>
        <w:jc w:val="center"/>
      </w:pPr>
      <w:r>
        <w:rPr>
          <w:rFonts w:ascii="Times New Roman" w:hAnsi="Times New Roman" w:eastAsia="宋体"/>
          <w:b w:val="0"/>
          <w:i/>
          <w:color w:val="555555"/>
          <w:sz w:val="18"/>
        </w:rPr>
        <w:t>图 1 覆盖感知多窗口采样与层级弱监督检测框架</w:t>
      </w:r>
    </w:p>
    <w:p>
      <w:pPr>
        <w:jc w:val="center"/>
      </w:pPr>
      <w:r>
        <w:drawing>
          <wp:inline xmlns:a="http://schemas.openxmlformats.org/drawingml/2006/main" xmlns:pic="http://schemas.openxmlformats.org/drawingml/2006/picture">
            <wp:extent cx="5029200" cy="1026246"/>
            <wp:docPr id="2" name="Picture 2"/>
            <wp:cNvGraphicFramePr>
              <a:graphicFrameLocks noChangeAspect="1"/>
            </wp:cNvGraphicFramePr>
            <a:graphic>
              <a:graphicData uri="http://schemas.openxmlformats.org/drawingml/2006/picture">
                <pic:pic>
                  <pic:nvPicPr>
                    <pic:cNvPr id="0" name="fig2_window_sampling.png"/>
                    <pic:cNvPicPr/>
                  </pic:nvPicPr>
                  <pic:blipFill>
                    <a:blip r:embed="rId10"/>
                    <a:stretch>
                      <a:fillRect/>
                    </a:stretch>
                  </pic:blipFill>
                  <pic:spPr>
                    <a:xfrm>
                      <a:off x="0" y="0"/>
                      <a:ext cx="5029200" cy="1026246"/>
                    </a:xfrm>
                    <a:prstGeom prst="rect"/>
                  </pic:spPr>
                </pic:pic>
              </a:graphicData>
            </a:graphic>
          </wp:inline>
        </w:drawing>
      </w:r>
    </w:p>
    <w:p>
      <w:pPr>
        <w:jc w:val="center"/>
      </w:pPr>
      <w:r>
        <w:rPr>
          <w:rFonts w:ascii="Times New Roman" w:hAnsi="Times New Roman" w:eastAsia="宋体"/>
          <w:b w:val="0"/>
          <w:i/>
          <w:color w:val="555555"/>
          <w:sz w:val="18"/>
        </w:rPr>
        <w:t>图 2 混合窗口采样示例（测量 705，C 相，窗口标注）</w:t>
      </w:r>
    </w:p>
    <w:p>
      <w:pPr>
        <w:spacing w:before="0" w:after="120"/>
      </w:pPr>
      <w:r>
        <w:rPr>
          <w:rFonts w:ascii="Times New Roman" w:hAnsi="Times New Roman" w:eastAsia="宋体"/>
          <w:b w:val="0"/>
          <w:i w:val="0"/>
          <w:sz w:val="21"/>
        </w:rPr>
        <w:t>对每相信号，以确定性方式提取 $K$ 个长度为 $W = 8{,}192$ 采样点（204.8 $\mu$s）的窗口：$K_u$ 个等距锚点窗口保证信号全覆盖，$K_e$ 个事件窗口聚焦由下述事件分数选出的疑似放电区段。</w:t>
      </w:r>
    </w:p>
    <w:p>
      <w:pPr>
        <w:keepNext/>
        <w:spacing w:before="240" w:after="160"/>
      </w:pPr>
      <w:r>
        <w:rPr>
          <w:rFonts w:ascii="Times New Roman" w:hAnsi="Times New Roman" w:eastAsia="黑体"/>
          <w:b/>
          <w:i w:val="0"/>
          <w:color w:val="1F4D78"/>
          <w:sz w:val="24"/>
        </w:rPr>
        <w:t>A. 事件分数</w:t>
      </w:r>
    </w:p>
    <w:p>
      <w:pPr>
        <w:spacing w:before="0" w:after="120"/>
      </w:pPr>
      <w:r>
        <w:rPr>
          <w:rFonts w:ascii="Times New Roman" w:hAnsi="Times New Roman" w:eastAsia="宋体"/>
          <w:b w:val="0"/>
          <w:i w:val="0"/>
          <w:sz w:val="21"/>
        </w:rPr>
        <w:t>对每相信号 $x$（长度 $L = 800{,}000$），先减去中位数得到 $\tilde{x}[n] = x[n] - \mathrm{median}(x)$，再逐点计算三类能量特征：</w:t>
      </w:r>
    </w:p>
    <w:p>
      <w:pPr>
        <w:spacing w:before="0" w:after="60"/>
        <w:ind w:left="360"/>
      </w:pPr>
      <w:r>
        <w:rPr>
          <w:rFonts w:ascii="Times New Roman" w:hAnsi="Times New Roman" w:eastAsia="宋体"/>
          <w:b/>
          <w:i w:val="0"/>
          <w:sz w:val="21"/>
        </w:rPr>
        <w:t>幅值</w:t>
      </w:r>
      <w:r>
        <w:rPr>
          <w:rFonts w:ascii="Times New Roman" w:hAnsi="Times New Roman" w:eastAsia="宋体"/>
          <w:b w:val="0"/>
          <w:i w:val="0"/>
          <w:sz w:val="21"/>
        </w:rPr>
        <w:t>：$a[n] = |\tilde{x}[n]|$；</w:t>
      </w:r>
    </w:p>
    <w:p>
      <w:pPr>
        <w:spacing w:before="0" w:after="60"/>
        <w:ind w:left="360"/>
      </w:pPr>
      <w:r>
        <w:rPr>
          <w:rFonts w:ascii="Times New Roman" w:hAnsi="Times New Roman" w:eastAsia="宋体"/>
          <w:b/>
          <w:i w:val="0"/>
          <w:sz w:val="21"/>
        </w:rPr>
        <w:t>Teager 能量</w:t>
      </w:r>
      <w:r>
        <w:rPr>
          <w:rFonts w:ascii="Times New Roman" w:hAnsi="Times New Roman" w:eastAsia="宋体"/>
          <w:b w:val="0"/>
          <w:i w:val="0"/>
          <w:sz w:val="21"/>
        </w:rPr>
        <w:t>：$\tau[n] = |\tilde{x}[n]^2 - \tilde{x}[n-1]\tilde{x}[n+1]|$；</w:t>
      </w:r>
    </w:p>
    <w:p>
      <w:pPr>
        <w:spacing w:before="0" w:after="60"/>
        <w:ind w:left="360"/>
      </w:pPr>
      <w:r>
        <w:rPr>
          <w:rFonts w:ascii="Times New Roman" w:hAnsi="Times New Roman" w:eastAsia="宋体"/>
          <w:b/>
          <w:i w:val="0"/>
          <w:sz w:val="21"/>
        </w:rPr>
        <w:t>滚动差分 RMS</w:t>
      </w:r>
      <w:r>
        <w:rPr>
          <w:rFonts w:ascii="Times New Roman" w:hAnsi="Times New Roman" w:eastAsia="宋体"/>
          <w:b w:val="0"/>
          <w:i w:val="0"/>
          <w:sz w:val="21"/>
        </w:rPr>
        <w:t>：$d[n] = \sqrt{\mathrm{mean}_{m \in \mathrm{window}}(\Delta\tilde{x}[m]^2)}$，其中 $\Delta\tilde{x}$ 为一阶差分序列（首点反射填充），窗口宽度 256。</w:t>
      </w:r>
    </w:p>
    <w:p>
      <w:pPr>
        <w:spacing w:before="0" w:after="120"/>
      </w:pPr>
      <w:r>
        <w:rPr>
          <w:rFonts w:ascii="Times New Roman" w:hAnsi="Times New Roman" w:eastAsia="宋体"/>
          <w:b w:val="0"/>
          <w:i w:val="0"/>
          <w:sz w:val="21"/>
        </w:rPr>
        <w:t>鲁棒非负 z-score 定义为</w:t>
      </w:r>
    </w:p>
    <w:p>
      <w:pPr>
        <w:jc w:val="center"/>
      </w:pPr>
      <w:r>
        <w:rPr>
          <w:rFonts w:ascii="Cambria Math" w:hAnsi="Cambria Math" w:eastAsia="宋体"/>
          <w:b w:val="0"/>
          <w:i/>
          <w:sz w:val="21"/>
        </w:rPr>
        <w:t>z(v) = \max\left(\frac{v - \mathrm{median}(v)}{1.4826 \cdot \mathrm{MAD}(v)},\ 0\right) \qquad (1)</w:t>
      </w:r>
    </w:p>
    <w:p>
      <w:pPr>
        <w:spacing w:before="0" w:after="120"/>
      </w:pPr>
      <w:r>
        <w:rPr>
          <w:rFonts w:ascii="Times New Roman" w:hAnsi="Times New Roman" w:eastAsia="宋体"/>
          <w:b w:val="0"/>
          <w:i w:val="0"/>
          <w:sz w:val="21"/>
        </w:rPr>
        <w:t>其中 $\mathrm{MAD}(v) = \mathrm{median}(|v - \mathrm{median}(v)|)$；当 MAD 退化（为零或非有限）时回退至平均绝对偏差尺度。事件分数为</w:t>
      </w:r>
    </w:p>
    <w:p>
      <w:pPr>
        <w:jc w:val="center"/>
      </w:pPr>
      <w:r>
        <w:rPr>
          <w:rFonts w:ascii="Cambria Math" w:hAnsi="Cambria Math" w:eastAsia="宋体"/>
          <w:b w:val="0"/>
          <w:i/>
          <w:sz w:val="21"/>
        </w:rPr>
        <w:t>S[n] = \max\left(z(a[n]),\ z(\tau[n]),\ z(d[n])\right), \qquad (2)</w:t>
      </w:r>
    </w:p>
    <w:p>
      <w:pPr>
        <w:spacing w:before="0" w:after="120"/>
      </w:pPr>
      <w:r>
        <w:rPr>
          <w:rFonts w:ascii="Times New Roman" w:hAnsi="Times New Roman" w:eastAsia="宋体"/>
          <w:b w:val="0"/>
          <w:i w:val="0"/>
          <w:sz w:val="21"/>
        </w:rPr>
        <w:t>且 $S[n] \geq 0$。三类特征响应不同的瞬态特性（幅值、瞬时能量与差分能量），鲁棒 z-score 使分数在噪声与动态范围变化下具有尺度不变性。</w:t>
      </w:r>
    </w:p>
    <w:p>
      <w:pPr>
        <w:keepNext/>
        <w:spacing w:before="240" w:after="160"/>
      </w:pPr>
      <w:r>
        <w:rPr>
          <w:rFonts w:ascii="Times New Roman" w:hAnsi="Times New Roman" w:eastAsia="黑体"/>
          <w:b/>
          <w:i w:val="0"/>
          <w:color w:val="1F4D78"/>
          <w:sz w:val="24"/>
        </w:rPr>
        <w:t>B. 确定性采样方案</w:t>
      </w:r>
    </w:p>
    <w:p>
      <w:pPr>
        <w:spacing w:before="0" w:after="120"/>
      </w:pPr>
      <w:r>
        <w:rPr>
          <w:rFonts w:ascii="Times New Roman" w:hAnsi="Times New Roman" w:eastAsia="宋体"/>
          <w:b w:val="0"/>
          <w:i w:val="0"/>
          <w:sz w:val="21"/>
        </w:rPr>
        <w:t>覆盖感知采样流程总结为算法 1。阶段 I 放置 $K_u$ 个起点最大分离的均匀间隔窗口。阶段 II 选择 $S$ 的峰（最小距离 $W/2$，$S &gt; 0$），按 $(-S, \mathrm{start})$ 排序，并添加以峰为中心的窗口——除非其与已选窗口的 IoU $\geq 0.5$（跨类型去重）。阶段 III 通过 256 格网格上最大化到已选集最小距离的回退，保证恰好 $K$ 个窗口。</w:t>
      </w:r>
    </w:p>
    <w:p>
      <w:pPr>
        <w:spacing w:before="0" w:after="120"/>
      </w:pPr>
      <w:r>
        <w:rPr>
          <w:rFonts w:ascii="Times New Roman" w:hAnsi="Times New Roman" w:eastAsia="宋体"/>
          <w:b/>
          <w:i w:val="0"/>
          <w:sz w:val="21"/>
        </w:rPr>
        <w:t>算法 1</w:t>
      </w:r>
      <w:r>
        <w:rPr>
          <w:rFonts w:ascii="Times New Roman" w:hAnsi="Times New Roman" w:eastAsia="宋体"/>
          <w:b w:val="0"/>
          <w:i w:val="0"/>
          <w:sz w:val="21"/>
        </w:rPr>
        <w:t xml:space="preserve"> 覆盖感知确定性窗口采样</w:t>
      </w:r>
    </w:p>
    <w:p>
      <w:pPr>
        <w:spacing w:before="0" w:after="120"/>
      </w:pPr>
      <w:r>
        <w:rPr>
          <w:rFonts w:ascii="Times New Roman" w:hAnsi="Times New Roman" w:eastAsia="宋体"/>
          <w:b/>
          <w:i w:val="0"/>
          <w:sz w:val="21"/>
        </w:rPr>
        <w:t>输入：</w:t>
      </w:r>
      <w:r>
        <w:rPr>
          <w:rFonts w:ascii="Times New Roman" w:hAnsi="Times New Roman" w:eastAsia="宋体"/>
          <w:b w:val="0"/>
          <w:i w:val="0"/>
          <w:sz w:val="21"/>
        </w:rPr>
        <w:t xml:space="preserve"> 相位信号 $x \in \mathbb{R}^{L}$（$L = 800{,}000$），$K_u = K_e = 4$，窗口长度 $W = 8{,}192$</w:t>
      </w:r>
    </w:p>
    <w:p>
      <w:pPr>
        <w:spacing w:before="0" w:after="120"/>
      </w:pPr>
      <w:r>
        <w:rPr>
          <w:rFonts w:ascii="Times New Roman" w:hAnsi="Times New Roman" w:eastAsia="宋体"/>
          <w:b/>
          <w:i w:val="0"/>
          <w:sz w:val="21"/>
        </w:rPr>
        <w:t>输出：</w:t>
      </w:r>
      <w:r>
        <w:rPr>
          <w:rFonts w:ascii="Times New Roman" w:hAnsi="Times New Roman" w:eastAsia="宋体"/>
          <w:b w:val="0"/>
          <w:i w:val="0"/>
          <w:sz w:val="21"/>
        </w:rPr>
        <w:t xml:space="preserve"> 窗口集 $\mathcal{W}$，$|\mathcal{W}| = K_u + K_e = 8$</w:t>
      </w:r>
    </w:p>
    <w:p>
      <w:pPr>
        <w:spacing w:before="0" w:after="120"/>
      </w:pPr>
      <w:r>
        <w:rPr>
          <w:rFonts w:ascii="Times New Roman" w:hAnsi="Times New Roman" w:eastAsia="宋体"/>
          <w:b w:val="0"/>
          <w:i w:val="0"/>
          <w:sz w:val="21"/>
        </w:rPr>
        <w:t>1: $\mathcal{W} \gets \emptyset$</w:t>
      </w:r>
    </w:p>
    <w:p>
      <w:pPr>
        <w:spacing w:before="0" w:after="120"/>
      </w:pPr>
      <w:r>
        <w:rPr>
          <w:rFonts w:ascii="Times New Roman" w:hAnsi="Times New Roman" w:eastAsia="宋体"/>
          <w:b w:val="0"/>
          <w:i w:val="0"/>
          <w:sz w:val="21"/>
        </w:rPr>
        <w:t>2: $\tilde{x}[n] \gets x[n] - \mathrm{median}(x)$，$n = 1, \dots, L$</w:t>
      </w:r>
    </w:p>
    <w:p>
      <w:pPr>
        <w:spacing w:before="0" w:after="120"/>
      </w:pPr>
      <w:r>
        <w:rPr>
          <w:rFonts w:ascii="Times New Roman" w:hAnsi="Times New Roman" w:eastAsia="宋体"/>
          <w:b w:val="0"/>
          <w:i w:val="0"/>
          <w:sz w:val="21"/>
        </w:rPr>
        <w:t>3: 计算幅值 $a[n] \gets |\tilde{x}[n]|$</w:t>
      </w:r>
    </w:p>
    <w:p>
      <w:pPr>
        <w:spacing w:before="0" w:after="120"/>
      </w:pPr>
      <w:r>
        <w:rPr>
          <w:rFonts w:ascii="Times New Roman" w:hAnsi="Times New Roman" w:eastAsia="宋体"/>
          <w:b w:val="0"/>
          <w:i w:val="0"/>
          <w:sz w:val="21"/>
        </w:rPr>
        <w:t>4: 计算 Teager 能量 $\tau[n] \gets |\tilde{x}[n]^2 - \tilde{x}[n-1]\tilde{x}[n+1]|$</w:t>
      </w:r>
    </w:p>
    <w:p>
      <w:pPr>
        <w:spacing w:before="0" w:after="120"/>
      </w:pPr>
      <w:r>
        <w:rPr>
          <w:rFonts w:ascii="Times New Roman" w:hAnsi="Times New Roman" w:eastAsia="宋体"/>
          <w:b w:val="0"/>
          <w:i w:val="0"/>
          <w:sz w:val="21"/>
        </w:rPr>
        <w:t>5: 计算差分 RMS $d[n]$（窗口 256，反射填充）</w:t>
      </w:r>
    </w:p>
    <w:p>
      <w:pPr>
        <w:spacing w:before="0" w:after="120"/>
      </w:pPr>
      <w:r>
        <w:rPr>
          <w:rFonts w:ascii="Times New Roman" w:hAnsi="Times New Roman" w:eastAsia="宋体"/>
          <w:b w:val="0"/>
          <w:i w:val="0"/>
          <w:sz w:val="21"/>
        </w:rPr>
        <w:t>6: $S[n] \gets \max\{z(a[n]), z(\tau[n]), z(d[n])\}$ ▷ 式 (2)</w:t>
      </w:r>
    </w:p>
    <w:p>
      <w:pPr>
        <w:spacing w:before="0" w:after="120"/>
      </w:pPr>
      <w:r>
        <w:rPr>
          <w:rFonts w:ascii="Times New Roman" w:hAnsi="Times New Roman" w:eastAsia="宋体"/>
          <w:b w:val="0"/>
          <w:i w:val="0"/>
          <w:sz w:val="21"/>
        </w:rPr>
        <w:t xml:space="preserve">7: </w:t>
      </w:r>
      <w:r>
        <w:rPr>
          <w:rFonts w:ascii="Times New Roman" w:hAnsi="Times New Roman" w:eastAsia="宋体"/>
          <w:b/>
          <w:i w:val="0"/>
          <w:sz w:val="21"/>
        </w:rPr>
        <w:t>阶段 I — 等距锚点：</w:t>
      </w:r>
      <w:r>
        <w:rPr>
          <w:rFonts w:ascii="Times New Roman" w:hAnsi="Times New Roman" w:eastAsia="宋体"/>
          <w:b w:val="0"/>
          <w:i w:val="0"/>
          <w:sz w:val="21"/>
        </w:rPr>
        <w:t xml:space="preserve"> 放置 $K_u$ 个均匀间隔、起点最大分离的窗口；加入 $\mathcal{W}$</w:t>
      </w:r>
    </w:p>
    <w:p>
      <w:pPr>
        <w:spacing w:before="0" w:after="120"/>
      </w:pPr>
      <w:r>
        <w:rPr>
          <w:rFonts w:ascii="Times New Roman" w:hAnsi="Times New Roman" w:eastAsia="宋体"/>
          <w:b w:val="0"/>
          <w:i w:val="0"/>
          <w:sz w:val="21"/>
        </w:rPr>
        <w:t xml:space="preserve">8: </w:t>
      </w:r>
      <w:r>
        <w:rPr>
          <w:rFonts w:ascii="Times New Roman" w:hAnsi="Times New Roman" w:eastAsia="宋体"/>
          <w:b/>
          <w:i w:val="0"/>
          <w:sz w:val="21"/>
        </w:rPr>
        <w:t>阶段 II — 事件窗口：</w:t>
      </w:r>
    </w:p>
    <w:p>
      <w:pPr>
        <w:spacing w:before="0" w:after="120"/>
      </w:pPr>
      <w:r>
        <w:rPr>
          <w:rFonts w:ascii="Times New Roman" w:hAnsi="Times New Roman" w:eastAsia="宋体"/>
          <w:b w:val="0"/>
          <w:i w:val="0"/>
          <w:sz w:val="21"/>
        </w:rPr>
        <w:t>9:  $P \gets$ $S$ 的峰，$\mathrm{dist}_{\min} = W/2$ 且 $S &gt; 0$</w:t>
      </w:r>
    </w:p>
    <w:p>
      <w:pPr>
        <w:spacing w:before="0" w:after="120"/>
      </w:pPr>
      <w:r>
        <w:rPr>
          <w:rFonts w:ascii="Times New Roman" w:hAnsi="Times New Roman" w:eastAsia="宋体"/>
          <w:b w:val="0"/>
          <w:i w:val="0"/>
          <w:sz w:val="21"/>
        </w:rPr>
        <w:t>10:  按 $(-S, \mathrm{start})$ 降序排序 $P$</w:t>
      </w:r>
    </w:p>
    <w:p>
      <w:pPr>
        <w:spacing w:before="0" w:after="120"/>
      </w:pPr>
      <w:r>
        <w:rPr>
          <w:rFonts w:ascii="Times New Roman" w:hAnsi="Times New Roman" w:eastAsia="宋体"/>
          <w:b w:val="0"/>
          <w:i w:val="0"/>
          <w:sz w:val="21"/>
        </w:rPr>
        <w:t xml:space="preserve">11:  </w:t>
      </w:r>
      <w:r>
        <w:rPr>
          <w:rFonts w:ascii="Times New Roman" w:hAnsi="Times New Roman" w:eastAsia="宋体"/>
          <w:b/>
          <w:i w:val="0"/>
          <w:sz w:val="21"/>
        </w:rPr>
        <w:t>for</w:t>
      </w:r>
      <w:r>
        <w:rPr>
          <w:rFonts w:ascii="Times New Roman" w:hAnsi="Times New Roman" w:eastAsia="宋体"/>
          <w:b w:val="0"/>
          <w:i w:val="0"/>
          <w:sz w:val="21"/>
        </w:rPr>
        <w:t xml:space="preserve"> $p \in P$ </w:t>
      </w:r>
      <w:r>
        <w:rPr>
          <w:rFonts w:ascii="Times New Roman" w:hAnsi="Times New Roman" w:eastAsia="宋体"/>
          <w:b/>
          <w:i w:val="0"/>
          <w:sz w:val="21"/>
        </w:rPr>
        <w:t>do</w:t>
      </w:r>
    </w:p>
    <w:p>
      <w:pPr>
        <w:spacing w:before="0" w:after="120"/>
      </w:pPr>
      <w:r>
        <w:rPr>
          <w:rFonts w:ascii="Times New Roman" w:hAnsi="Times New Roman" w:eastAsia="宋体"/>
          <w:b w:val="0"/>
          <w:i w:val="0"/>
          <w:sz w:val="21"/>
        </w:rPr>
        <w:t>12:   $s \gets \mathrm{clip}(\mathrm{peak}_p - W/2,\ 0,\ L - W)$</w:t>
      </w:r>
    </w:p>
    <w:p>
      <w:pPr>
        <w:spacing w:before="0" w:after="120"/>
      </w:pPr>
      <w:r>
        <w:rPr>
          <w:rFonts w:ascii="Times New Roman" w:hAnsi="Times New Roman" w:eastAsia="宋体"/>
          <w:b w:val="0"/>
          <w:i w:val="0"/>
          <w:sz w:val="21"/>
        </w:rPr>
        <w:t xml:space="preserve">13:   </w:t>
      </w:r>
      <w:r>
        <w:rPr>
          <w:rFonts w:ascii="Times New Roman" w:hAnsi="Times New Roman" w:eastAsia="宋体"/>
          <w:b/>
          <w:i w:val="0"/>
          <w:sz w:val="21"/>
        </w:rPr>
        <w:t>if</w:t>
      </w:r>
      <w:r>
        <w:rPr>
          <w:rFonts w:ascii="Times New Roman" w:hAnsi="Times New Roman" w:eastAsia="宋体"/>
          <w:b w:val="0"/>
          <w:i w:val="0"/>
          <w:sz w:val="21"/>
        </w:rPr>
        <w:t xml:space="preserve"> 对所有 $w \in \mathcal{W}$ 有 $\mathrm{IoU}([s, s+W], w) &lt; 0.5$ </w:t>
      </w:r>
      <w:r>
        <w:rPr>
          <w:rFonts w:ascii="Times New Roman" w:hAnsi="Times New Roman" w:eastAsia="宋体"/>
          <w:b/>
          <w:i w:val="0"/>
          <w:sz w:val="21"/>
        </w:rPr>
        <w:t>then</w:t>
      </w:r>
    </w:p>
    <w:p>
      <w:pPr>
        <w:spacing w:before="0" w:after="120"/>
      </w:pPr>
      <w:r>
        <w:rPr>
          <w:rFonts w:ascii="Times New Roman" w:hAnsi="Times New Roman" w:eastAsia="宋体"/>
          <w:b w:val="0"/>
          <w:i w:val="0"/>
          <w:sz w:val="21"/>
        </w:rPr>
        <w:t>14:    $\mathcal{W} \gets \mathcal{W} \cup \{[s, s+W]\}$</w:t>
      </w:r>
    </w:p>
    <w:p>
      <w:pPr>
        <w:spacing w:before="0" w:after="120"/>
      </w:pPr>
      <w:r>
        <w:rPr>
          <w:rFonts w:ascii="Times New Roman" w:hAnsi="Times New Roman" w:eastAsia="宋体"/>
          <w:b w:val="0"/>
          <w:i w:val="0"/>
          <w:sz w:val="21"/>
        </w:rPr>
        <w:t xml:space="preserve">15:   </w:t>
      </w:r>
      <w:r>
        <w:rPr>
          <w:rFonts w:ascii="Times New Roman" w:hAnsi="Times New Roman" w:eastAsia="宋体"/>
          <w:b/>
          <w:i w:val="0"/>
          <w:sz w:val="21"/>
        </w:rPr>
        <w:t>end if</w:t>
      </w:r>
    </w:p>
    <w:p>
      <w:pPr>
        <w:spacing w:before="0" w:after="120"/>
      </w:pPr>
      <w:r>
        <w:rPr>
          <w:rFonts w:ascii="Times New Roman" w:hAnsi="Times New Roman" w:eastAsia="宋体"/>
          <w:b w:val="0"/>
          <w:i w:val="0"/>
          <w:sz w:val="21"/>
        </w:rPr>
        <w:t xml:space="preserve">16:   </w:t>
      </w:r>
      <w:r>
        <w:rPr>
          <w:rFonts w:ascii="Times New Roman" w:hAnsi="Times New Roman" w:eastAsia="宋体"/>
          <w:b/>
          <w:i w:val="0"/>
          <w:sz w:val="21"/>
        </w:rPr>
        <w:t>if</w:t>
      </w:r>
      <w:r>
        <w:rPr>
          <w:rFonts w:ascii="Times New Roman" w:hAnsi="Times New Roman" w:eastAsia="宋体"/>
          <w:b w:val="0"/>
          <w:i w:val="0"/>
          <w:sz w:val="21"/>
        </w:rPr>
        <w:t xml:space="preserve"> $|\mathcal{W}| = K_u + K_e$ </w:t>
      </w:r>
      <w:r>
        <w:rPr>
          <w:rFonts w:ascii="Times New Roman" w:hAnsi="Times New Roman" w:eastAsia="宋体"/>
          <w:b/>
          <w:i w:val="0"/>
          <w:sz w:val="21"/>
        </w:rPr>
        <w:t>then break</w:t>
      </w:r>
    </w:p>
    <w:p>
      <w:pPr>
        <w:spacing w:before="0" w:after="120"/>
      </w:pPr>
      <w:r>
        <w:rPr>
          <w:rFonts w:ascii="Times New Roman" w:hAnsi="Times New Roman" w:eastAsia="宋体"/>
          <w:b w:val="0"/>
          <w:i w:val="0"/>
          <w:sz w:val="21"/>
        </w:rPr>
        <w:t xml:space="preserve">17:  </w:t>
      </w:r>
      <w:r>
        <w:rPr>
          <w:rFonts w:ascii="Times New Roman" w:hAnsi="Times New Roman" w:eastAsia="宋体"/>
          <w:b/>
          <w:i w:val="0"/>
          <w:sz w:val="21"/>
        </w:rPr>
        <w:t>end for</w:t>
      </w:r>
    </w:p>
    <w:p>
      <w:pPr>
        <w:spacing w:before="0" w:after="120"/>
      </w:pPr>
      <w:r>
        <w:rPr>
          <w:rFonts w:ascii="Times New Roman" w:hAnsi="Times New Roman" w:eastAsia="宋体"/>
          <w:b w:val="0"/>
          <w:i w:val="0"/>
          <w:sz w:val="21"/>
        </w:rPr>
        <w:t xml:space="preserve">18: </w:t>
      </w:r>
      <w:r>
        <w:rPr>
          <w:rFonts w:ascii="Times New Roman" w:hAnsi="Times New Roman" w:eastAsia="宋体"/>
          <w:b/>
          <w:i w:val="0"/>
          <w:sz w:val="21"/>
        </w:rPr>
        <w:t>阶段 III — 回退：</w:t>
      </w:r>
      <w:r>
        <w:rPr>
          <w:rFonts w:ascii="Times New Roman" w:hAnsi="Times New Roman" w:eastAsia="宋体"/>
          <w:b w:val="0"/>
          <w:i w:val="0"/>
          <w:sz w:val="21"/>
        </w:rPr>
        <w:t xml:space="preserve"> </w:t>
      </w:r>
      <w:r>
        <w:rPr>
          <w:rFonts w:ascii="Times New Roman" w:hAnsi="Times New Roman" w:eastAsia="宋体"/>
          <w:b/>
          <w:i w:val="0"/>
          <w:sz w:val="21"/>
        </w:rPr>
        <w:t>while</w:t>
      </w:r>
      <w:r>
        <w:rPr>
          <w:rFonts w:ascii="Times New Roman" w:hAnsi="Times New Roman" w:eastAsia="宋体"/>
          <w:b w:val="0"/>
          <w:i w:val="0"/>
          <w:sz w:val="21"/>
        </w:rPr>
        <w:t xml:space="preserve"> $|\mathcal{W}| &lt; K_u + K_e$ </w:t>
      </w:r>
      <w:r>
        <w:rPr>
          <w:rFonts w:ascii="Times New Roman" w:hAnsi="Times New Roman" w:eastAsia="宋体"/>
          <w:b/>
          <w:i w:val="0"/>
          <w:sz w:val="21"/>
        </w:rPr>
        <w:t>do</w:t>
      </w:r>
    </w:p>
    <w:p>
      <w:pPr>
        <w:spacing w:before="0" w:after="120"/>
      </w:pPr>
      <w:r>
        <w:rPr>
          <w:rFonts w:ascii="Times New Roman" w:hAnsi="Times New Roman" w:eastAsia="宋体"/>
          <w:b w:val="0"/>
          <w:i w:val="0"/>
          <w:sz w:val="21"/>
        </w:rPr>
        <w:t>19:  从 256 格网格选择使 $\min_{w \in \mathcal{W}} \mathrm{dist}(w)$ 最大的位置；加入 $\mathcal{W}$</w:t>
      </w:r>
    </w:p>
    <w:p>
      <w:pPr>
        <w:spacing w:before="0" w:after="120"/>
      </w:pPr>
      <w:r>
        <w:rPr>
          <w:rFonts w:ascii="Times New Roman" w:hAnsi="Times New Roman" w:eastAsia="宋体"/>
          <w:b w:val="0"/>
          <w:i w:val="0"/>
          <w:sz w:val="21"/>
        </w:rPr>
        <w:t xml:space="preserve">20: </w:t>
      </w:r>
      <w:r>
        <w:rPr>
          <w:rFonts w:ascii="Times New Roman" w:hAnsi="Times New Roman" w:eastAsia="宋体"/>
          <w:b/>
          <w:i w:val="0"/>
          <w:sz w:val="21"/>
        </w:rPr>
        <w:t>end while</w:t>
      </w:r>
    </w:p>
    <w:p>
      <w:pPr>
        <w:spacing w:before="0" w:after="120"/>
      </w:pPr>
      <w:r>
        <w:rPr>
          <w:rFonts w:ascii="Times New Roman" w:hAnsi="Times New Roman" w:eastAsia="宋体"/>
          <w:b w:val="0"/>
          <w:i w:val="0"/>
          <w:sz w:val="21"/>
        </w:rPr>
        <w:t xml:space="preserve">21: </w:t>
      </w:r>
      <w:r>
        <w:rPr>
          <w:rFonts w:ascii="Times New Roman" w:hAnsi="Times New Roman" w:eastAsia="宋体"/>
          <w:b/>
          <w:i w:val="0"/>
          <w:sz w:val="21"/>
        </w:rPr>
        <w:t>return</w:t>
      </w:r>
      <w:r>
        <w:rPr>
          <w:rFonts w:ascii="Times New Roman" w:hAnsi="Times New Roman" w:eastAsia="宋体"/>
          <w:b w:val="0"/>
          <w:i w:val="0"/>
          <w:sz w:val="21"/>
        </w:rPr>
        <w:t xml:space="preserve"> $\mathcal{W}$</w:t>
      </w:r>
    </w:p>
    <w:p>
      <w:pPr>
        <w:spacing w:before="0" w:after="120"/>
      </w:pPr>
      <w:r>
        <w:rPr>
          <w:rFonts w:ascii="Times New Roman" w:hAnsi="Times New Roman" w:eastAsia="宋体"/>
          <w:b w:val="0"/>
          <w:i w:val="0"/>
          <w:sz w:val="21"/>
        </w:rPr>
        <w:t>锁定参数为：$\mathrm{rolling\_width} = 256$，$\mathrm{peak\_distance} = 4{,}096$，$\mathrm{window\_length} = 8{,}192$，$\mathrm{dedup\_IoU} = 0.5$，$\mathrm{fallback\_grid} = 256$（$K_u = 4$，$K_e = 4$）。该流程在 `src/vsb_pd/events.py` 中实现并经 SHA-256 提交至分割锁，保证相同输入始终产生相同输出。窗口策略消融（K 与组成）见第五节 E。图 2 展示了真实信号（测量 705，C 相）上的混合采样结果。</w:t>
      </w:r>
    </w:p>
    <w:p>
      <w:pPr>
        <w:keepNext/>
        <w:spacing w:before="240" w:after="160"/>
      </w:pPr>
      <w:r>
        <w:rPr>
          <w:rFonts w:ascii="Times New Roman" w:hAnsi="Times New Roman" w:eastAsia="黑体"/>
          <w:b/>
          <w:i w:val="0"/>
          <w:color w:val="1F4D78"/>
          <w:sz w:val="24"/>
        </w:rPr>
        <w:t>C. 物理特征提取</w:t>
      </w:r>
    </w:p>
    <w:p>
      <w:pPr>
        <w:spacing w:before="0" w:after="120"/>
      </w:pPr>
      <w:r>
        <w:rPr>
          <w:rFonts w:ascii="Times New Roman" w:hAnsi="Times New Roman" w:eastAsia="宋体"/>
          <w:b w:val="0"/>
          <w:i w:val="0"/>
          <w:sz w:val="21"/>
        </w:rPr>
        <w:t>对每个窗口提取 58 维物理特征向量，作为编码器特征分支的输入（参考架构使用；见第四节 A），全部以向量化方式计算：</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类别</w:t>
            </w:r>
          </w:p>
        </w:tc>
        <w:tc>
          <w:tcPr>
            <w:tcW w:type="dxa" w:w="3120"/>
            <w:vAlign w:val="center"/>
            <w:shd w:val="clear" w:fill="F4F6F9"/>
          </w:tcPr>
          <w:p>
            <w:pPr>
              <w:spacing w:after="40" w:before="40"/>
            </w:pPr>
            <w:r/>
            <w:r>
              <w:rPr>
                <w:rFonts w:ascii="Times New Roman" w:hAnsi="Times New Roman" w:eastAsia="宋体"/>
                <w:b/>
                <w:i w:val="0"/>
                <w:sz w:val="18"/>
              </w:rPr>
              <w:t>维数</w:t>
            </w:r>
          </w:p>
        </w:tc>
        <w:tc>
          <w:tcPr>
            <w:tcW w:type="dxa" w:w="3120"/>
            <w:vAlign w:val="center"/>
            <w:shd w:val="clear" w:fill="F4F6F9"/>
          </w:tcPr>
          <w:p>
            <w:pPr>
              <w:spacing w:after="40" w:before="40"/>
            </w:pPr>
            <w:r/>
            <w:r>
              <w:rPr>
                <w:rFonts w:ascii="Times New Roman" w:hAnsi="Times New Roman" w:eastAsia="宋体"/>
                <w:b/>
                <w:i w:val="0"/>
                <w:sz w:val="18"/>
              </w:rPr>
              <w:t>说明</w:t>
            </w:r>
          </w:p>
        </w:tc>
      </w:tr>
      <w:tr>
        <w:tc>
          <w:tcPr>
            <w:tcW w:type="dxa" w:w="3120"/>
            <w:vAlign w:val="center"/>
          </w:tcPr>
          <w:p>
            <w:pPr>
              <w:spacing w:after="40" w:before="40"/>
            </w:pPr>
            <w:r/>
            <w:r>
              <w:rPr>
                <w:rFonts w:ascii="Times New Roman" w:hAnsi="Times New Roman" w:eastAsia="宋体"/>
                <w:b w:val="0"/>
                <w:i w:val="0"/>
                <w:sz w:val="18"/>
              </w:rPr>
              <w:t>时域</w:t>
            </w:r>
          </w:p>
        </w:tc>
        <w:tc>
          <w:tcPr>
            <w:tcW w:type="dxa" w:w="3120"/>
            <w:vAlign w:val="center"/>
          </w:tcPr>
          <w:p>
            <w:pPr>
              <w:spacing w:after="40" w:before="40"/>
            </w:pPr>
            <w:r/>
            <w:r>
              <w:rPr>
                <w:rFonts w:ascii="Times New Roman" w:hAnsi="Times New Roman" w:eastAsia="宋体"/>
                <w:b w:val="0"/>
                <w:i w:val="0"/>
                <w:sz w:val="18"/>
              </w:rPr>
              <w:t>20</w:t>
            </w:r>
          </w:p>
        </w:tc>
        <w:tc>
          <w:tcPr>
            <w:tcW w:type="dxa" w:w="3120"/>
            <w:vAlign w:val="center"/>
          </w:tcPr>
          <w:p>
            <w:pPr>
              <w:spacing w:after="40" w:before="40"/>
            </w:pPr>
            <w:r/>
            <w:r>
              <w:rPr>
                <w:rFonts w:ascii="Times New Roman" w:hAnsi="Times New Roman" w:eastAsia="宋体"/>
                <w:b w:val="0"/>
                <w:i w:val="0"/>
                <w:sz w:val="18"/>
              </w:rPr>
              <w:t>幅值、方差、偏度、峰度、峰值因子、过零率、能量等</w:t>
            </w:r>
          </w:p>
        </w:tc>
      </w:tr>
      <w:tr>
        <w:tc>
          <w:tcPr>
            <w:tcW w:type="dxa" w:w="3120"/>
            <w:vAlign w:val="center"/>
          </w:tcPr>
          <w:p>
            <w:pPr>
              <w:spacing w:after="40" w:before="40"/>
            </w:pPr>
            <w:r/>
            <w:r>
              <w:rPr>
                <w:rFonts w:ascii="Times New Roman" w:hAnsi="Times New Roman" w:eastAsia="宋体"/>
                <w:b w:val="0"/>
                <w:i w:val="0"/>
                <w:sz w:val="18"/>
              </w:rPr>
              <w:t>频域</w:t>
            </w:r>
          </w:p>
        </w:tc>
        <w:tc>
          <w:tcPr>
            <w:tcW w:type="dxa" w:w="3120"/>
            <w:vAlign w:val="center"/>
          </w:tcPr>
          <w:p>
            <w:pPr>
              <w:spacing w:after="40" w:before="40"/>
            </w:pPr>
            <w:r/>
            <w:r>
              <w:rPr>
                <w:rFonts w:ascii="Times New Roman" w:hAnsi="Times New Roman" w:eastAsia="宋体"/>
                <w:b w:val="0"/>
                <w:i w:val="0"/>
                <w:sz w:val="18"/>
              </w:rPr>
              <w:t>12</w:t>
            </w:r>
          </w:p>
        </w:tc>
        <w:tc>
          <w:tcPr>
            <w:tcW w:type="dxa" w:w="3120"/>
            <w:vAlign w:val="center"/>
          </w:tcPr>
          <w:p>
            <w:pPr>
              <w:spacing w:after="40" w:before="40"/>
            </w:pPr>
            <w:r/>
            <w:r>
              <w:rPr>
                <w:rFonts w:ascii="Times New Roman" w:hAnsi="Times New Roman" w:eastAsia="宋体"/>
                <w:b w:val="0"/>
                <w:i w:val="0"/>
                <w:sz w:val="18"/>
              </w:rPr>
              <w:t>主频、谱质心、带宽、滚降、平坦度、谱熵等（FFT）</w:t>
            </w:r>
          </w:p>
        </w:tc>
      </w:tr>
      <w:tr>
        <w:tc>
          <w:tcPr>
            <w:tcW w:type="dxa" w:w="3120"/>
            <w:vAlign w:val="center"/>
          </w:tcPr>
          <w:p>
            <w:pPr>
              <w:spacing w:after="40" w:before="40"/>
            </w:pPr>
            <w:r/>
            <w:r>
              <w:rPr>
                <w:rFonts w:ascii="Times New Roman" w:hAnsi="Times New Roman" w:eastAsia="宋体"/>
                <w:b w:val="0"/>
                <w:i w:val="0"/>
                <w:sz w:val="18"/>
              </w:rPr>
              <w:t>频带能量</w:t>
            </w:r>
          </w:p>
        </w:tc>
        <w:tc>
          <w:tcPr>
            <w:tcW w:type="dxa" w:w="3120"/>
            <w:vAlign w:val="center"/>
          </w:tcPr>
          <w:p>
            <w:pPr>
              <w:spacing w:after="40" w:before="40"/>
            </w:pPr>
            <w:r/>
            <w:r>
              <w:rPr>
                <w:rFonts w:ascii="Times New Roman" w:hAnsi="Times New Roman" w:eastAsia="宋体"/>
                <w:b w:val="0"/>
                <w:i w:val="0"/>
                <w:sz w:val="18"/>
              </w:rPr>
              <w:t>13</w:t>
            </w:r>
          </w:p>
        </w:tc>
        <w:tc>
          <w:tcPr>
            <w:tcW w:type="dxa" w:w="3120"/>
            <w:vAlign w:val="center"/>
          </w:tcPr>
          <w:p>
            <w:pPr>
              <w:spacing w:after="40" w:before="40"/>
            </w:pPr>
            <w:r/>
            <w:r>
              <w:rPr>
                <w:rFonts w:ascii="Times New Roman" w:hAnsi="Times New Roman" w:eastAsia="宋体"/>
                <w:b w:val="0"/>
                <w:i w:val="0"/>
                <w:sz w:val="18"/>
              </w:rPr>
              <w:t>0–20 MHz 等分 13 频带的归一化能量</w:t>
            </w:r>
          </w:p>
        </w:tc>
      </w:tr>
      <w:tr>
        <w:tc>
          <w:tcPr>
            <w:tcW w:type="dxa" w:w="3120"/>
            <w:vAlign w:val="center"/>
          </w:tcPr>
          <w:p>
            <w:pPr>
              <w:spacing w:after="40" w:before="40"/>
            </w:pPr>
            <w:r/>
            <w:r>
              <w:rPr>
                <w:rFonts w:ascii="Times New Roman" w:hAnsi="Times New Roman" w:eastAsia="宋体"/>
                <w:b w:val="0"/>
                <w:i w:val="0"/>
                <w:sz w:val="18"/>
              </w:rPr>
              <w:t>自相关/AR</w:t>
            </w:r>
          </w:p>
        </w:tc>
        <w:tc>
          <w:tcPr>
            <w:tcW w:type="dxa" w:w="3120"/>
            <w:vAlign w:val="center"/>
          </w:tcPr>
          <w:p>
            <w:pPr>
              <w:spacing w:after="40" w:before="40"/>
            </w:pPr>
            <w:r/>
            <w:r>
              <w:rPr>
                <w:rFonts w:ascii="Times New Roman" w:hAnsi="Times New Roman" w:eastAsia="宋体"/>
                <w:b w:val="0"/>
                <w:i w:val="0"/>
                <w:sz w:val="18"/>
              </w:rPr>
              <w:t>9</w:t>
            </w:r>
          </w:p>
        </w:tc>
        <w:tc>
          <w:tcPr>
            <w:tcW w:type="dxa" w:w="3120"/>
            <w:vAlign w:val="center"/>
          </w:tcPr>
          <w:p>
            <w:pPr>
              <w:spacing w:after="40" w:before="40"/>
            </w:pPr>
            <w:r/>
            <w:r>
              <w:rPr>
                <w:rFonts w:ascii="Times New Roman" w:hAnsi="Times New Roman" w:eastAsia="宋体"/>
                <w:b w:val="0"/>
                <w:i w:val="0"/>
                <w:sz w:val="18"/>
              </w:rPr>
              <w:t>前 3 个 ACF 峰及其显著性 + 3 阶 Burg AR 系数</w:t>
            </w:r>
          </w:p>
        </w:tc>
      </w:tr>
      <w:tr>
        <w:tc>
          <w:tcPr>
            <w:tcW w:type="dxa" w:w="3120"/>
            <w:vAlign w:val="center"/>
          </w:tcPr>
          <w:p>
            <w:pPr>
              <w:spacing w:after="40" w:before="40"/>
            </w:pPr>
            <w:r/>
            <w:r>
              <w:rPr>
                <w:rFonts w:ascii="Times New Roman" w:hAnsi="Times New Roman" w:eastAsia="宋体"/>
                <w:b w:val="0"/>
                <w:i w:val="0"/>
                <w:sz w:val="18"/>
              </w:rPr>
              <w:t>包络/峰值</w:t>
            </w:r>
          </w:p>
        </w:tc>
        <w:tc>
          <w:tcPr>
            <w:tcW w:type="dxa" w:w="3120"/>
            <w:vAlign w:val="center"/>
          </w:tcPr>
          <w:p>
            <w:pPr>
              <w:spacing w:after="40" w:before="40"/>
            </w:pPr>
            <w:r/>
            <w:r>
              <w:rPr>
                <w:rFonts w:ascii="Times New Roman" w:hAnsi="Times New Roman" w:eastAsia="宋体"/>
                <w:b w:val="0"/>
                <w:i w:val="0"/>
                <w:sz w:val="18"/>
              </w:rPr>
              <w:t>4</w:t>
            </w:r>
          </w:p>
        </w:tc>
        <w:tc>
          <w:tcPr>
            <w:tcW w:type="dxa" w:w="3120"/>
            <w:vAlign w:val="center"/>
          </w:tcPr>
          <w:p>
            <w:pPr>
              <w:spacing w:after="40" w:before="40"/>
            </w:pPr>
            <w:r/>
            <w:r>
              <w:rPr>
                <w:rFonts w:ascii="Times New Roman" w:hAnsi="Times New Roman" w:eastAsia="宋体"/>
                <w:b w:val="0"/>
                <w:i w:val="0"/>
                <w:sz w:val="18"/>
              </w:rPr>
              <w:t>峰值数、平均显著性、Hilbert 包络均值/标准差</w:t>
            </w:r>
          </w:p>
        </w:tc>
      </w:tr>
    </w:tbl>
    <w:p>
      <w:pPr>
        <w:spacing w:before="0" w:after="40"/>
      </w:pPr>
    </w:p>
    <w:p>
      <w:pPr>
        <w:spacing w:before="0" w:after="120"/>
      </w:pPr>
      <w:r>
        <w:rPr>
          <w:rFonts w:ascii="Times New Roman" w:hAnsi="Times New Roman" w:eastAsia="宋体"/>
          <w:b w:val="0"/>
          <w:i w:val="0"/>
          <w:sz w:val="21"/>
        </w:rPr>
        <w:t>特征提取在恒定与随机信号上做恒等性与有限性校验。</w:t>
      </w:r>
    </w:p>
    <w:p>
      <w:pPr>
        <w:keepNext/>
        <w:spacing w:before="240" w:after="160"/>
      </w:pPr>
      <w:r>
        <w:rPr>
          <w:rFonts w:ascii="Times New Roman" w:hAnsi="Times New Roman" w:eastAsia="黑体"/>
          <w:b/>
          <w:i w:val="0"/>
          <w:color w:val="1F4D78"/>
          <w:sz w:val="24"/>
        </w:rPr>
        <w:t>D. 与自适应采样和事件触发采样的关系</w:t>
      </w:r>
    </w:p>
    <w:p>
      <w:pPr>
        <w:spacing w:before="0" w:after="120"/>
      </w:pPr>
      <w:r>
        <w:rPr>
          <w:rFonts w:ascii="Times New Roman" w:hAnsi="Times New Roman" w:eastAsia="宋体"/>
          <w:b w:val="0"/>
          <w:i w:val="0"/>
          <w:sz w:val="21"/>
        </w:rPr>
        <w:t>自适应采样 [20] 与事件控制采样 [21] 仅在信号显著变化处提高测量密度，以降低数据量、功耗与处理成本。本文策略在检测管线的处理前端执行类似的信息选择：均匀分段简单但对稀疏事件不敏感，纯事件驱动分段则依赖检测器质量。混合方案兼顾两者——等距锚点保证覆盖，事件窗口聚焦高响应区段，跨类型去重避免冗余。</w:t>
      </w:r>
    </w:p>
    <w:p>
      <w:pPr>
        <w:keepNext/>
        <w:spacing w:before="240" w:after="160"/>
      </w:pPr>
      <w:r>
        <w:rPr>
          <w:rFonts w:ascii="Times New Roman" w:hAnsi="Times New Roman" w:eastAsia="黑体"/>
          <w:b/>
          <w:i w:val="0"/>
          <w:color w:val="2E74B5"/>
          <w:sz w:val="28"/>
        </w:rPr>
        <w:t>四、层级弱监督检测</w:t>
      </w:r>
    </w:p>
    <w:p>
      <w:pPr>
        <w:spacing w:before="0" w:after="120"/>
      </w:pPr>
      <w:r>
        <w:rPr>
          <w:rFonts w:ascii="Times New Roman" w:hAnsi="Times New Roman" w:eastAsia="宋体"/>
          <w:b w:val="0"/>
          <w:i w:val="0"/>
          <w:sz w:val="21"/>
        </w:rPr>
        <w:t>检测框架（图 1）由四部分组成：覆盖感知窗口采样（第三节）、轻量窗口编码器、注意力 MIL 聚合、以及带层级推理的三相交互。</w:t>
      </w:r>
    </w:p>
    <w:p>
      <w:pPr>
        <w:keepNext/>
        <w:spacing w:before="240" w:after="160"/>
      </w:pPr>
      <w:r>
        <w:rPr>
          <w:rFonts w:ascii="Times New Roman" w:hAnsi="Times New Roman" w:eastAsia="黑体"/>
          <w:b/>
          <w:i w:val="0"/>
          <w:color w:val="1F4D78"/>
          <w:sz w:val="24"/>
        </w:rPr>
        <w:t>A. 窗口编码器</w:t>
      </w:r>
    </w:p>
    <w:p>
      <w:pPr>
        <w:spacing w:before="0" w:after="120"/>
      </w:pPr>
      <w:r>
        <w:rPr>
          <w:rFonts w:ascii="Times New Roman" w:hAnsi="Times New Roman" w:eastAsia="宋体"/>
          <w:b w:val="0"/>
          <w:i w:val="0"/>
          <w:sz w:val="21"/>
        </w:rPr>
        <w:t>每个窗口先经逐窗口鲁棒标准化：</w:t>
      </w:r>
    </w:p>
    <w:p>
      <w:pPr>
        <w:jc w:val="center"/>
      </w:pPr>
      <w:r>
        <w:rPr>
          <w:rFonts w:ascii="Cambria Math" w:hAnsi="Cambria Math" w:eastAsia="宋体"/>
          <w:b w:val="0"/>
          <w:i/>
          <w:sz w:val="21"/>
        </w:rPr>
        <w:t>\mathbf{w}_{\mathrm{norm}} = \frac{\mathbf{w} - \mathrm{median}(\mathbf{w})}{\mathrm{IQR}(\mathbf{w}) / 1.349}, \qquad (3)</w:t>
      </w:r>
    </w:p>
    <w:p>
      <w:pPr>
        <w:spacing w:before="0" w:after="120"/>
      </w:pPr>
      <w:r>
        <w:rPr>
          <w:rFonts w:ascii="Times New Roman" w:hAnsi="Times New Roman" w:eastAsia="宋体"/>
          <w:b w:val="0"/>
          <w:i w:val="0"/>
          <w:sz w:val="21"/>
        </w:rPr>
        <w:t>其中 IQR 为四分位距，因子 1.349 将 IQR 映射到高斯分布的标准差尺度（尺度下限 $10^{-8}$ 以避免除零）。该预处理对匹配编码器对比（第五节 D）中的每个编码器一致应用。</w:t>
      </w:r>
    </w:p>
    <w:p>
      <w:pPr>
        <w:spacing w:before="0" w:after="120"/>
      </w:pPr>
      <w:r>
        <w:rPr>
          <w:rFonts w:ascii="Times New Roman" w:hAnsi="Times New Roman" w:eastAsia="宋体"/>
          <w:b w:val="0"/>
          <w:i w:val="0"/>
          <w:sz w:val="21"/>
        </w:rPr>
        <w:t>最终轻量主模型使用纯 1D CNN 窗口编码器，由四个深度可分离卷积块构成。每个块为深度卷积后接逐点卷积（$\mathrm{DSConv}_{C,K}$：输出通道 $C$，核 $K$，步长 4，填充 $K//2$），随后 GroupNorm 与 SiLU 激活：</w:t>
      </w:r>
    </w:p>
    <w:p>
      <w:pPr>
        <w:jc w:val="center"/>
      </w:pPr>
      <w:r>
        <w:rPr>
          <w:rFonts w:ascii="Cambria Math" w:hAnsi="Cambria Math" w:eastAsia="宋体"/>
          <w:b w:val="0"/>
          <w:i/>
          <w:sz w:val="21"/>
        </w:rPr>
        <w:t>\mathbf{h}_1 = \mathrm{SiLU}(\mathrm{GN}(\mathrm{DSConv}_{32,15}(\mathbf{w}_{\mathrm{norm}}))) \qquad (4)</w:t>
      </w:r>
    </w:p>
    <w:p>
      <w:pPr>
        <w:jc w:val="center"/>
      </w:pPr>
      <w:r>
        <w:rPr>
          <w:rFonts w:ascii="Cambria Math" w:hAnsi="Cambria Math" w:eastAsia="宋体"/>
          <w:b w:val="0"/>
          <w:i/>
          <w:sz w:val="21"/>
        </w:rPr>
        <w:t>\mathbf{h}_2 = \mathrm{SiLU}(\mathrm{GN}(\mathrm{DSConv}_{64,11}(\mathbf{h}_1))) \qquad (5)</w:t>
      </w:r>
    </w:p>
    <w:p>
      <w:pPr>
        <w:jc w:val="center"/>
      </w:pPr>
      <w:r>
        <w:rPr>
          <w:rFonts w:ascii="Cambria Math" w:hAnsi="Cambria Math" w:eastAsia="宋体"/>
          <w:b w:val="0"/>
          <w:i/>
          <w:sz w:val="21"/>
        </w:rPr>
        <w:t>\mathbf{h}_3 = \mathrm{SiLU}(\mathrm{GN}(\mathrm{DSConv}_{96,7}(\mathbf{h}_2))) \qquad (6)</w:t>
      </w:r>
    </w:p>
    <w:p>
      <w:pPr>
        <w:jc w:val="center"/>
      </w:pPr>
      <w:r>
        <w:rPr>
          <w:rFonts w:ascii="Cambria Math" w:hAnsi="Cambria Math" w:eastAsia="宋体"/>
          <w:b w:val="0"/>
          <w:i/>
          <w:sz w:val="21"/>
        </w:rPr>
        <w:t>\mathbf{h}_4 = \mathrm{SiLU}(\mathrm{GN}(\mathrm{DSConv}_{128,5}(\mathbf{h}_3))) \qquad (7)</w:t>
      </w:r>
    </w:p>
    <w:p>
      <w:pPr>
        <w:spacing w:before="0" w:after="120"/>
      </w:pPr>
      <w:r>
        <w:rPr>
          <w:rFonts w:ascii="Times New Roman" w:hAnsi="Times New Roman" w:eastAsia="宋体"/>
          <w:b w:val="0"/>
          <w:i w:val="0"/>
          <w:sz w:val="21"/>
        </w:rPr>
        <w:t>全局平均池化与全局最大池化拼接后线性投影：</w:t>
      </w:r>
    </w:p>
    <w:p>
      <w:pPr>
        <w:jc w:val="center"/>
      </w:pPr>
      <w:r>
        <w:rPr>
          <w:rFonts w:ascii="Cambria Math" w:hAnsi="Cambria Math" w:eastAsia="宋体"/>
          <w:b w:val="0"/>
          <w:i/>
          <w:sz w:val="21"/>
        </w:rPr>
        <w:t>\mathbf{h}_{\mathrm{raw}} = \mathrm{LN}\left(\mathbf{W}_p\,[\mathrm{AvgPool}(\mathbf{h}_4);\ \mathrm{MaxPool}(\mathbf{h}_4)]\right), \qquad (8)</w:t>
      </w:r>
    </w:p>
    <w:p>
      <w:pPr>
        <w:spacing w:before="0" w:after="120"/>
      </w:pPr>
      <w:r>
        <w:rPr>
          <w:rFonts w:ascii="Times New Roman" w:hAnsi="Times New Roman" w:eastAsia="宋体"/>
          <w:b w:val="0"/>
          <w:i w:val="0"/>
          <w:sz w:val="21"/>
        </w:rPr>
        <w:t>其中 $\mathbf{W}_p \in \mathbb{R}^{128 \times 256}$，LN 为 LayerNorm，得 $\mathbf{h}_{\mathrm{raw}} \in \mathbb{R}^{128}$。主模型仅使用 CNN 分支。参考架构（203,634 参数）使用双分支融合——同一 CNN 分支（通道 32 → 64 → 96 → 128）与物理特征 MLP（58 → 128 → 64）经学习门控组合；其仅作机制验证（第五节 D），不属于主报告。</w:t>
      </w:r>
    </w:p>
    <w:p>
      <w:pPr>
        <w:spacing w:before="0" w:after="40"/>
      </w:pPr>
      <w:r>
        <w:rPr>
          <w:rFonts w:ascii="Times New Roman" w:hAnsi="Times New Roman" w:eastAsia="宋体"/>
          <w:b/>
          <w:i w:val="0"/>
          <w:color w:val="555555"/>
          <w:sz w:val="18"/>
        </w:rPr>
        <w:t>参数核算</w:t>
      </w:r>
      <w:r>
        <w:rPr>
          <w:rFonts w:ascii="Times New Roman" w:hAnsi="Times New Roman" w:eastAsia="宋体"/>
          <w:b w:val="0"/>
          <w:i w:val="0"/>
          <w:color w:val="555555"/>
          <w:sz w:val="18"/>
        </w:rPr>
        <w:t>：主模型检查点共含 113,265 个参数。其中 16,064 个属于物理特征 MLP——该模块由共享编码器类构造，但在 CNN-only 配置中不执行；因此推理时执行参数为 97,201。类似地，历史锁定主模型（总 80,113）执行 64,049 个参数。本文所有效率声明均指执行参数与实测 MACs；总参数仅用于检查点保真度。</w:t>
      </w:r>
    </w:p>
    <w:p>
      <w:pPr>
        <w:keepNext/>
        <w:spacing w:before="240" w:after="160"/>
      </w:pPr>
      <w:r>
        <w:rPr>
          <w:rFonts w:ascii="Times New Roman" w:hAnsi="Times New Roman" w:eastAsia="黑体"/>
          <w:b/>
          <w:i w:val="0"/>
          <w:color w:val="1F4D78"/>
          <w:sz w:val="24"/>
        </w:rPr>
        <w:t>B. 窗口到相位的 MIL 聚合</w:t>
      </w:r>
    </w:p>
    <w:p>
      <w:pPr>
        <w:spacing w:before="0" w:after="120"/>
      </w:pPr>
      <w:r>
        <w:rPr>
          <w:rFonts w:ascii="Times New Roman" w:hAnsi="Times New Roman" w:eastAsia="宋体"/>
          <w:b w:val="0"/>
          <w:i w:val="0"/>
          <w:sz w:val="21"/>
        </w:rPr>
        <w:t>多示例学习假设标签仅存在于包级，每个包由若干示例构成 [14], [15]；基于注意力的深度 MIL 自动识别包内关键示例 [16]，近期工作将 MIL 扩展到层级时间序列分类 [17]。本文的相位级建模正是该设定：窗口为示例、相位为包——窗口无标签而相位有标签，训练仅使用包级标签。与标准 MIL 不同，示例并非独立采样，而是由覆盖感知方案（第三节）确定性构造，因此信息选择与弱监督直接耦合。</w:t>
      </w:r>
    </w:p>
    <w:p>
      <w:pPr>
        <w:spacing w:before="0" w:after="120"/>
      </w:pPr>
      <w:r>
        <w:rPr>
          <w:rFonts w:ascii="Times New Roman" w:hAnsi="Times New Roman" w:eastAsia="宋体"/>
          <w:b w:val="0"/>
          <w:i w:val="0"/>
          <w:sz w:val="21"/>
        </w:rPr>
        <w:t>对含 $K$ 个窗口的相位信号，得到 $K$ 个表示 $\{\mathbf{h}_1, \dots, \mathbf{h}_K\}$，各在 $\mathbb{R}^{128}$。主模型通过注意力 MIL [16] 将窗口聚合为相位级表示，使用线性缩放打分函数：</w:t>
      </w:r>
    </w:p>
    <w:p>
      <w:pPr>
        <w:jc w:val="center"/>
      </w:pPr>
      <w:r>
        <w:rPr>
          <w:rFonts w:ascii="Cambria Math" w:hAnsi="Cambria Math" w:eastAsia="宋体"/>
          <w:b w:val="0"/>
          <w:i/>
          <w:sz w:val="21"/>
        </w:rPr>
        <w:t>\alpha_k = \frac{\exp\left((\mathbf{w}^\top \mathbf{h}_k + b)/\sqrt{D}\right)}{\sum_{j=1}^{K} \exp\left((\mathbf{w}^\top \mathbf{h}_j + b)/\sqrt{D}\right)} \qquad (9)</w:t>
      </w:r>
    </w:p>
    <w:p>
      <w:pPr>
        <w:jc w:val="center"/>
      </w:pPr>
      <w:r>
        <w:rPr>
          <w:rFonts w:ascii="Cambria Math" w:hAnsi="Cambria Math" w:eastAsia="宋体"/>
          <w:b w:val="0"/>
          <w:i/>
          <w:sz w:val="21"/>
        </w:rPr>
        <w:t>\mathbf{z}_p = \sum_{k=1}^{K} \alpha_k \mathbf{h}_k, \qquad (10)</w:t>
      </w:r>
    </w:p>
    <w:p>
      <w:pPr>
        <w:spacing w:before="0" w:after="120"/>
      </w:pPr>
      <w:r>
        <w:rPr>
          <w:rFonts w:ascii="Times New Roman" w:hAnsi="Times New Roman" w:eastAsia="宋体"/>
          <w:b w:val="0"/>
          <w:i w:val="0"/>
          <w:sz w:val="21"/>
        </w:rPr>
        <w:t>其中 $\mathbf{w} \in \mathbb{R}^{128}$，$b \in \mathbb{R}$，$D = 128$；$\sqrt{D}$ 缩放稳定 softmax。该线性缩放变体不同于 [16] 的门控（tanh）注意力，但共享其学习示例重要性的思想；参考架构使用带 sigmoid 门控的门控变体 [16]。</w:t>
      </w:r>
    </w:p>
    <w:p>
      <w:pPr>
        <w:keepNext/>
        <w:spacing w:before="240" w:after="160"/>
      </w:pPr>
      <w:r>
        <w:rPr>
          <w:rFonts w:ascii="Times New Roman" w:hAnsi="Times New Roman" w:eastAsia="黑体"/>
          <w:b/>
          <w:i w:val="0"/>
          <w:color w:val="1F4D78"/>
          <w:sz w:val="24"/>
        </w:rPr>
        <w:t>C. 三相交互与层级推理</w:t>
      </w:r>
    </w:p>
    <w:p>
      <w:pPr>
        <w:spacing w:before="0" w:after="120"/>
      </w:pPr>
      <w:r>
        <w:rPr>
          <w:rFonts w:ascii="Times New Roman" w:hAnsi="Times New Roman" w:eastAsia="宋体"/>
          <w:b w:val="0"/>
          <w:i w:val="0"/>
          <w:sz w:val="21"/>
        </w:rPr>
        <w:t xml:space="preserve">三相信号携带可利用的冗余（一相很少孤立受影响；见第五节 F 与第七节 A）。主模型使用 </w:t>
      </w:r>
      <w:r>
        <w:rPr>
          <w:rFonts w:ascii="Times New Roman" w:hAnsi="Times New Roman" w:eastAsia="宋体"/>
          <w:b/>
          <w:i w:val="0"/>
          <w:sz w:val="21"/>
        </w:rPr>
        <w:t>context-concat</w:t>
      </w:r>
      <w:r>
        <w:rPr>
          <w:rFonts w:ascii="Times New Roman" w:hAnsi="Times New Roman" w:eastAsia="宋体"/>
          <w:b w:val="0"/>
          <w:i w:val="0"/>
          <w:sz w:val="21"/>
        </w:rPr>
        <w:t xml:space="preserve"> 交互。设 $\mathbf{z}_A, \mathbf{z}_B, \mathbf{z}_C \in \mathbb{R}^{128}$ 为 MIL 聚合表示，全局上下文为</w:t>
      </w:r>
    </w:p>
    <w:p>
      <w:pPr>
        <w:jc w:val="center"/>
      </w:pPr>
      <w:r>
        <w:rPr>
          <w:rFonts w:ascii="Cambria Math" w:hAnsi="Cambria Math" w:eastAsia="宋体"/>
          <w:b w:val="0"/>
          <w:i/>
          <w:sz w:val="21"/>
        </w:rPr>
        <w:t>\mathbf{c} = \frac{1}{3}\left(\mathbf{z}_A + \mathbf{z}_B + \mathbf{z}_C\right). \qquad (11)</w:t>
      </w:r>
    </w:p>
    <w:p>
      <w:pPr>
        <w:spacing w:before="0" w:after="120"/>
      </w:pPr>
      <w:r>
        <w:rPr>
          <w:rFonts w:ascii="Times New Roman" w:hAnsi="Times New Roman" w:eastAsia="宋体"/>
          <w:b w:val="0"/>
          <w:i w:val="0"/>
          <w:sz w:val="21"/>
        </w:rPr>
        <w:t>对每相 $p$，拼接 $[\mathbf{z}_p; \mathbf{c}] \in \mathbb{R}^{256}$ 经两层上下文投影：</w:t>
      </w:r>
    </w:p>
    <w:p>
      <w:pPr>
        <w:jc w:val="center"/>
      </w:pPr>
      <w:r>
        <w:rPr>
          <w:rFonts w:ascii="Cambria Math" w:hAnsi="Cambria Math" w:eastAsia="宋体"/>
          <w:b w:val="0"/>
          <w:i/>
          <w:sz w:val="21"/>
        </w:rPr>
        <w:t>\mathbf{z}_p' = \mathrm{SiLU}\left(\mathrm{LN}\left(\mathbf{W}_c\,[\mathbf{z}_p; \mathbf{c}]\right)\right), \qquad (12)</w:t>
      </w:r>
    </w:p>
    <w:p>
      <w:pPr>
        <w:spacing w:before="0" w:after="120"/>
      </w:pPr>
      <w:r>
        <w:rPr>
          <w:rFonts w:ascii="Times New Roman" w:hAnsi="Times New Roman" w:eastAsia="宋体"/>
          <w:b w:val="0"/>
          <w:i w:val="0"/>
          <w:sz w:val="21"/>
        </w:rPr>
        <w:t>其中 $\mathbf{W}_c \in \mathbb{R}^{128 \times 256}$；逐相位概率由跨相共享的分类器产生：</w:t>
      </w:r>
    </w:p>
    <w:p>
      <w:pPr>
        <w:jc w:val="center"/>
      </w:pPr>
      <w:r>
        <w:rPr>
          <w:rFonts w:ascii="Cambria Math" w:hAnsi="Cambria Math" w:eastAsia="宋体"/>
          <w:b w:val="0"/>
          <w:i/>
          <w:sz w:val="21"/>
        </w:rPr>
        <w:t>\hat{y}_p = \sigma\left(\mathrm{MLP}(\mathbf{z}_p')\right), \qquad (13)</w:t>
      </w:r>
    </w:p>
    <w:p>
      <w:pPr>
        <w:spacing w:before="0" w:after="120"/>
      </w:pPr>
      <w:r>
        <w:rPr>
          <w:rFonts w:ascii="Times New Roman" w:hAnsi="Times New Roman" w:eastAsia="宋体"/>
          <w:b w:val="0"/>
          <w:i w:val="0"/>
          <w:sz w:val="21"/>
        </w:rPr>
        <w:t>其中 $\mathrm{MLP}$ 为 Linear(128, 64) → ReLU → Dropout(0.3) → Linear(64, 1)，$\sigma$ 为 sigmoid。由于每相具有不同的 $\mathbf{z}_p'$，三个输出是独立、可排序的逐相位概率（分类器权重共享）。测量级概率为确定性 noisy-OR：</w:t>
      </w:r>
    </w:p>
    <w:p>
      <w:pPr>
        <w:jc w:val="center"/>
      </w:pPr>
      <w:r>
        <w:rPr>
          <w:rFonts w:ascii="Cambria Math" w:hAnsi="Cambria Math" w:eastAsia="宋体"/>
          <w:b w:val="0"/>
          <w:i/>
          <w:sz w:val="21"/>
        </w:rPr>
        <w:t>\hat{y}_{\mathrm{meas}} = 1 - \prod_{p \in \{A,B,C\}} \left(1 - \hat{y}_p\right). \qquad (14)</w:t>
      </w:r>
    </w:p>
    <w:p>
      <w:pPr>
        <w:spacing w:before="0" w:after="120"/>
      </w:pPr>
      <w:r>
        <w:rPr>
          <w:rFonts w:ascii="Times New Roman" w:hAnsi="Times New Roman" w:eastAsia="宋体"/>
          <w:b w:val="0"/>
          <w:i w:val="0"/>
          <w:sz w:val="21"/>
        </w:rPr>
        <w:t>交互消融中的对比变体（第五节 C）：</w:t>
      </w:r>
      <w:r>
        <w:rPr>
          <w:rFonts w:ascii="Times New Roman" w:hAnsi="Times New Roman" w:eastAsia="宋体"/>
          <w:b/>
          <w:i w:val="0"/>
          <w:sz w:val="21"/>
        </w:rPr>
        <w:t>E1</w:t>
      </w:r>
      <w:r>
        <w:rPr>
          <w:rFonts w:ascii="Times New Roman" w:hAnsi="Times New Roman" w:eastAsia="宋体"/>
          <w:b w:val="0"/>
          <w:i w:val="0"/>
          <w:sz w:val="21"/>
        </w:rPr>
        <w:t>，无交互（逐相位向量原样进入分类器）；</w:t>
      </w:r>
      <w:r>
        <w:rPr>
          <w:rFonts w:ascii="Times New Roman" w:hAnsi="Times New Roman" w:eastAsia="宋体"/>
          <w:b/>
          <w:i w:val="0"/>
          <w:sz w:val="21"/>
        </w:rPr>
        <w:t>E2</w:t>
      </w:r>
      <w:r>
        <w:rPr>
          <w:rFonts w:ascii="Times New Roman" w:hAnsi="Times New Roman" w:eastAsia="宋体"/>
          <w:b w:val="0"/>
          <w:i w:val="0"/>
          <w:sz w:val="21"/>
        </w:rPr>
        <w:t>，均值共享得分（$\mathbf{z}_p' = \frac{1}{3}\sum_{q \in \{A,B,C\}} \mathbf{z}_q$，三相信号向量的逐元素均值，广播至每相）；</w:t>
      </w:r>
      <w:r>
        <w:rPr>
          <w:rFonts w:ascii="Times New Roman" w:hAnsi="Times New Roman" w:eastAsia="宋体"/>
          <w:b/>
          <w:i w:val="0"/>
          <w:sz w:val="21"/>
        </w:rPr>
        <w:t>E3</w:t>
      </w:r>
      <w:r>
        <w:rPr>
          <w:rFonts w:ascii="Times New Roman" w:hAnsi="Times New Roman" w:eastAsia="宋体"/>
          <w:b w:val="0"/>
          <w:i w:val="0"/>
          <w:sz w:val="21"/>
        </w:rPr>
        <w:t>，最大聚合（$\mathbf{z}_p' = \max_{q \in \{A,B,C\}} \mathbf{z}_q$，逐元素最大，广播至每相）；</w:t>
      </w:r>
      <w:r>
        <w:rPr>
          <w:rFonts w:ascii="Times New Roman" w:hAnsi="Times New Roman" w:eastAsia="宋体"/>
          <w:b/>
          <w:i w:val="0"/>
          <w:sz w:val="21"/>
        </w:rPr>
        <w:t>E5</w:t>
      </w:r>
      <w:r>
        <w:rPr>
          <w:rFonts w:ascii="Times New Roman" w:hAnsi="Times New Roman" w:eastAsia="宋体"/>
          <w:b w:val="0"/>
          <w:i w:val="0"/>
          <w:sz w:val="21"/>
        </w:rPr>
        <w:t>，context-add（$\mathbf{z}_p' = \mathbf{z}_p + \phi(\mathbf{c})$，$\phi$ 为 MLP：Linear(128, 128) → LayerNorm → SiLU）；</w:t>
      </w:r>
      <w:r>
        <w:rPr>
          <w:rFonts w:ascii="Times New Roman" w:hAnsi="Times New Roman" w:eastAsia="宋体"/>
          <w:b/>
          <w:i w:val="0"/>
          <w:sz w:val="21"/>
        </w:rPr>
        <w:t>E6</w:t>
      </w:r>
      <w:r>
        <w:rPr>
          <w:rFonts w:ascii="Times New Roman" w:hAnsi="Times New Roman" w:eastAsia="宋体"/>
          <w:b w:val="0"/>
          <w:i w:val="0"/>
          <w:sz w:val="21"/>
        </w:rPr>
        <w:t>，E4 加层级测量级 BCE 损失 $\mathcal{L} = \mathcal{L}_{\mathrm{phase}} + \lambda \mathcal{L}_{\mathrm{meas}}$，$\lambda$ 在开发集上选择。注意 E2 与 E3 将单一向量广播至三相，其逐相位输出跨相相同，无法支持逐相故障定位（第五节 C）；E1 保持逐相独立向量但不交互（最弱配置）；在交互变体 E2–E6 中，E4 是唯一既交互又输出逐相独立分数的配置。</w:t>
      </w:r>
    </w:p>
    <w:p>
      <w:pPr>
        <w:keepNext/>
        <w:spacing w:before="240" w:after="160"/>
      </w:pPr>
      <w:r>
        <w:rPr>
          <w:rFonts w:ascii="Times New Roman" w:hAnsi="Times New Roman" w:eastAsia="黑体"/>
          <w:b/>
          <w:i w:val="0"/>
          <w:color w:val="1F4D78"/>
          <w:sz w:val="24"/>
        </w:rPr>
        <w:t>D. 训练协议与实现细节</w:t>
      </w:r>
    </w:p>
    <w:p>
      <w:pPr>
        <w:spacing w:before="0" w:after="120"/>
      </w:pPr>
      <w:r>
        <w:rPr>
          <w:rFonts w:ascii="Times New Roman" w:hAnsi="Times New Roman" w:eastAsia="宋体"/>
          <w:b w:val="0"/>
          <w:i w:val="0"/>
          <w:sz w:val="21"/>
        </w:rPr>
        <w:t>所有模型以 AdamW（学习率 $1 \times 10^{-3}$，权重衰减 $1 \times 10^{-4}$）训练，批大小 64（全信号基线为 8），最多 40 个 epoch，早停（patience 15，min delta 0.001）基于验证集相位级 PR-AUC，梯度裁剪 max-norm 1.0。训练使用分层 5 折交叉验证（StratifiedGroupKFold 按测量分组、按阳性相位数分层，seed 42；seeds 7 与 2024 用于稳定性验证），共享折叠指纹与共享 K=8 特征缓存。除 E6 外所有变体的损失均为相位级二元交叉熵；E6 增加测量级 BCE 项，$\lambda \in \{0.25, 0.5, 1.0\}$ 仅由 seed-42 开发集 pooled-OOF 测量 PR-AUC（0.512 / 0.430 / 0.492）选择，在评估 seeds 7 与 2024 前锁定 $\lambda = 0.25$。训练在 CUDA 上运行。本文所有编码器、MIL 变体与采样策略共享此协议；延迟为合成 800k 三相信号 50 次重复的 p50（RTX 4060 Laptop GPU，同主机 CPU）；Stage-1 与 Stage-2 基准在不同会话测量，从不作为点估计跨表比较。实现使用 PyTorch [30]、scikit-learn [31]、pandas [32]、matplotlib [33] 与 NumPy [34]。</w:t>
      </w:r>
    </w:p>
    <w:p>
      <w:pPr>
        <w:keepNext/>
        <w:spacing w:before="240" w:after="160"/>
      </w:pPr>
      <w:r>
        <w:rPr>
          <w:rFonts w:ascii="Times New Roman" w:hAnsi="Times New Roman" w:eastAsia="黑体"/>
          <w:b/>
          <w:i w:val="0"/>
          <w:color w:val="2E74B5"/>
          <w:sz w:val="28"/>
        </w:rPr>
        <w:t>五、实验</w:t>
      </w:r>
    </w:p>
    <w:p>
      <w:pPr>
        <w:keepNext/>
        <w:spacing w:before="240" w:after="160"/>
      </w:pPr>
      <w:r>
        <w:rPr>
          <w:rFonts w:ascii="Times New Roman" w:hAnsi="Times New Roman" w:eastAsia="黑体"/>
          <w:b/>
          <w:i w:val="0"/>
          <w:color w:val="1F4D78"/>
          <w:sz w:val="24"/>
        </w:rPr>
        <w:t>A. 数据集与评估协议</w:t>
      </w:r>
    </w:p>
    <w:p>
      <w:pPr>
        <w:spacing w:before="0" w:after="120"/>
      </w:pPr>
      <w:r>
        <w:rPr>
          <w:rFonts w:ascii="Times New Roman" w:hAnsi="Times New Roman" w:eastAsia="宋体"/>
          <w:b/>
          <w:i w:val="0"/>
          <w:sz w:val="21"/>
        </w:rPr>
        <w:t>开发集与盲测</w:t>
      </w:r>
      <w:r>
        <w:rPr>
          <w:rFonts w:ascii="Times New Roman" w:hAnsi="Times New Roman" w:eastAsia="宋体"/>
          <w:b w:val="0"/>
          <w:i w:val="0"/>
          <w:sz w:val="21"/>
        </w:rPr>
        <w:t>：如第二节 B 所述，本文所有实验使用开发集（2,481 个测量；7,443 个相位；443 个阳性，5.95%）。423 个盲测测量（1,269 个相位；82 个阳性，6.5%；31 个阳性测量，7.3%）仅由历史锁定主模型评估一次，不重开。</w:t>
      </w:r>
    </w:p>
    <w:p>
      <w:pPr>
        <w:spacing w:before="0" w:after="120"/>
      </w:pPr>
      <w:r>
        <w:rPr>
          <w:rFonts w:ascii="Times New Roman" w:hAnsi="Times New Roman" w:eastAsia="宋体"/>
          <w:b/>
          <w:i w:val="0"/>
          <w:sz w:val="21"/>
        </w:rPr>
        <w:t>独立保留集</w:t>
      </w:r>
      <w:r>
        <w:rPr>
          <w:rFonts w:ascii="Times New Roman" w:hAnsi="Times New Roman" w:eastAsia="宋体"/>
          <w:b w:val="0"/>
          <w:i w:val="0"/>
          <w:sz w:val="21"/>
        </w:rPr>
        <w:t>：Harvard Dataverse 分块（83,233 个相位信号；28,285 个测量；1,308 个阳性，1.57%）在下载前哈希锁定，从未参与任何训练或选择，并由冻结的最终 E4 模型一次性评估（第五节 J）。</w:t>
      </w:r>
    </w:p>
    <w:p>
      <w:pPr>
        <w:spacing w:before="0" w:after="120"/>
      </w:pPr>
      <w:r>
        <w:rPr>
          <w:rFonts w:ascii="Times New Roman" w:hAnsi="Times New Roman" w:eastAsia="宋体"/>
          <w:b/>
          <w:i w:val="0"/>
          <w:sz w:val="21"/>
        </w:rPr>
        <w:t>评估矩阵</w:t>
      </w:r>
      <w:r>
        <w:rPr>
          <w:rFonts w:ascii="Times New Roman" w:hAnsi="Times New Roman" w:eastAsia="宋体"/>
          <w:b w:val="0"/>
          <w:i w:val="0"/>
          <w:sz w:val="21"/>
        </w:rPr>
        <w:t>：为避免各模型在哪验证的混淆，表 I 总结评估足迹。此外，对 E4 主模型执行内部保留（IR）严格留出评估：开发集 20%（497 个测量；67 个阳性相位，4.49%）在新哈希锁分割（SHA-256 `ir_split_lock.json`）下分层为 IR 集，E4 主模型在其余 80% 上按精确主模型协议重训，IR 集以 80% 训练域 OOF 冻结阈值一次性评估（第五节 K；脚本 `e2_ir_evaluation.py`；输出 `results/ir_eval/`）。</w:t>
      </w:r>
    </w:p>
    <w:p>
      <w:pPr>
        <w:spacing w:before="160" w:after="40"/>
      </w:pPr>
      <w:r>
        <w:rPr>
          <w:rFonts w:ascii="Times New Roman" w:hAnsi="Times New Roman" w:eastAsia="宋体"/>
          <w:b w:val="0"/>
          <w:i w:val="0"/>
          <w:sz w:val="18"/>
        </w:rPr>
        <w:t>表 I  所报告模型的评估足迹</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Times New Roman" w:hAnsi="Times New Roman" w:eastAsia="宋体"/>
                <w:b/>
                <w:i w:val="0"/>
                <w:sz w:val="18"/>
              </w:rPr>
              <w:t>模型</w:t>
            </w:r>
          </w:p>
        </w:tc>
        <w:tc>
          <w:tcPr>
            <w:tcW w:type="dxa" w:w="1872"/>
            <w:vAlign w:val="center"/>
            <w:shd w:val="clear" w:fill="F4F6F9"/>
          </w:tcPr>
          <w:p>
            <w:pPr>
              <w:spacing w:after="40" w:before="40"/>
            </w:pPr>
            <w:r/>
            <w:r>
              <w:rPr>
                <w:rFonts w:ascii="Times New Roman" w:hAnsi="Times New Roman" w:eastAsia="宋体"/>
                <w:b/>
                <w:i w:val="0"/>
                <w:sz w:val="18"/>
              </w:rPr>
              <w:t>开发集 5 折 CV</w:t>
            </w:r>
          </w:p>
        </w:tc>
        <w:tc>
          <w:tcPr>
            <w:tcW w:type="dxa" w:w="1872"/>
            <w:vAlign w:val="center"/>
            <w:shd w:val="clear" w:fill="F4F6F9"/>
          </w:tcPr>
          <w:p>
            <w:pPr>
              <w:spacing w:after="40" w:before="40"/>
            </w:pPr>
            <w:r/>
            <w:r>
              <w:rPr>
                <w:rFonts w:ascii="Times New Roman" w:hAnsi="Times New Roman" w:eastAsia="宋体"/>
                <w:b/>
                <w:i w:val="0"/>
                <w:sz w:val="18"/>
              </w:rPr>
              <w:t>IR 严格留出</w:t>
            </w:r>
          </w:p>
        </w:tc>
        <w:tc>
          <w:tcPr>
            <w:tcW w:type="dxa" w:w="1872"/>
            <w:vAlign w:val="center"/>
            <w:shd w:val="clear" w:fill="F4F6F9"/>
          </w:tcPr>
          <w:p>
            <w:pPr>
              <w:spacing w:after="40" w:before="40"/>
            </w:pPr>
            <w:r/>
            <w:r>
              <w:rPr>
                <w:rFonts w:ascii="Times New Roman" w:hAnsi="Times New Roman" w:eastAsia="宋体"/>
                <w:b/>
                <w:i w:val="0"/>
                <w:sz w:val="18"/>
              </w:rPr>
              <w:t>423 盲测</w:t>
            </w:r>
          </w:p>
        </w:tc>
        <w:tc>
          <w:tcPr>
            <w:tcW w:type="dxa" w:w="1872"/>
            <w:vAlign w:val="center"/>
            <w:shd w:val="clear" w:fill="F4F6F9"/>
          </w:tcPr>
          <w:p>
            <w:pPr>
              <w:spacing w:after="40" w:before="40"/>
            </w:pPr>
            <w:r/>
            <w:r>
              <w:rPr>
                <w:rFonts w:ascii="Times New Roman" w:hAnsi="Times New Roman" w:eastAsia="宋体"/>
                <w:b/>
                <w:i w:val="0"/>
                <w:sz w:val="18"/>
              </w:rPr>
              <w:t>Harvard 保留</w:t>
            </w:r>
          </w:p>
        </w:tc>
      </w:tr>
      <w:tr>
        <w:tc>
          <w:tcPr>
            <w:tcW w:type="dxa" w:w="1872"/>
            <w:vAlign w:val="center"/>
          </w:tcPr>
          <w:p>
            <w:pPr>
              <w:spacing w:after="40" w:before="40"/>
            </w:pPr>
            <w:r/>
            <w:r>
              <w:rPr>
                <w:rFonts w:ascii="Times New Roman" w:hAnsi="Times New Roman" w:eastAsia="宋体"/>
                <w:b w:val="0"/>
                <w:i w:val="0"/>
                <w:sz w:val="18"/>
              </w:rPr>
              <w:t>历史锁定主模型（总 80,113 / 执行 64,049，mean 交互）</w:t>
            </w:r>
          </w:p>
        </w:tc>
        <w:tc>
          <w:tcPr>
            <w:tcW w:type="dxa" w:w="1872"/>
            <w:vAlign w:val="center"/>
          </w:tcPr>
          <w:p>
            <w:pPr>
              <w:spacing w:after="40" w:before="40"/>
            </w:pPr>
            <w:r/>
            <w:r>
              <w:rPr>
                <w:rFonts w:ascii="Times New Roman" w:hAnsi="Times New Roman" w:eastAsia="宋体"/>
                <w:b w:val="0"/>
                <w:i w:val="0"/>
                <w:sz w:val="18"/>
              </w:rPr>
              <w:t>✓（OOF + 逐折证据）</w:t>
            </w:r>
          </w:p>
        </w:tc>
        <w:tc>
          <w:tcPr>
            <w:tcW w:type="dxa" w:w="1872"/>
            <w:vAlign w:val="center"/>
          </w:tcPr>
          <w:p>
            <w:pPr>
              <w:spacing w:after="40" w:before="40"/>
            </w:pPr>
            <w:r/>
            <w:r>
              <w:rPr>
                <w:rFonts w:ascii="Times New Roman" w:hAnsi="Times New Roman" w:eastAsia="宋体"/>
                <w:b w:val="0"/>
                <w:i w:val="0"/>
                <w:sz w:val="18"/>
              </w:rPr>
              <w:t>—</w:t>
            </w:r>
          </w:p>
        </w:tc>
        <w:tc>
          <w:tcPr>
            <w:tcW w:type="dxa" w:w="1872"/>
            <w:vAlign w:val="center"/>
          </w:tcPr>
          <w:p>
            <w:pPr>
              <w:spacing w:after="40" w:before="40"/>
            </w:pPr>
            <w:r/>
            <w:r>
              <w:rPr>
                <w:rFonts w:ascii="Times New Roman" w:hAnsi="Times New Roman" w:eastAsia="宋体"/>
                <w:b w:val="0"/>
                <w:i w:val="0"/>
                <w:sz w:val="18"/>
              </w:rPr>
              <w:t>✓ 一次性评估，冻结收据</w:t>
            </w:r>
          </w:p>
        </w:tc>
        <w:tc>
          <w:tcPr>
            <w:tcW w:type="dxa" w:w="1872"/>
            <w:vAlign w:val="center"/>
          </w:tcPr>
          <w:p>
            <w:pPr>
              <w:spacing w:after="40" w:before="40"/>
            </w:pPr>
            <w:r/>
            <w:r>
              <w:rPr>
                <w:rFonts w:ascii="Times New Roman" w:hAnsi="Times New Roman" w:eastAsia="宋体"/>
                <w:b w:val="0"/>
                <w:i w:val="0"/>
                <w:sz w:val="18"/>
              </w:rPr>
              <w:t>—</w:t>
            </w:r>
          </w:p>
        </w:tc>
      </w:tr>
      <w:tr>
        <w:tc>
          <w:tcPr>
            <w:tcW w:type="dxa" w:w="1872"/>
            <w:vAlign w:val="center"/>
          </w:tcPr>
          <w:p>
            <w:pPr>
              <w:spacing w:after="40" w:before="40"/>
            </w:pPr>
            <w:r/>
            <w:r>
              <w:rPr>
                <w:rFonts w:ascii="Times New Roman" w:hAnsi="Times New Roman" w:eastAsia="宋体"/>
                <w:b w:val="0"/>
                <w:i w:val="0"/>
                <w:sz w:val="18"/>
              </w:rPr>
              <w:t>E4 主模型（总 113,265 / 执行 97,201，context-concat）</w:t>
            </w:r>
          </w:p>
        </w:tc>
        <w:tc>
          <w:tcPr>
            <w:tcW w:type="dxa" w:w="1872"/>
            <w:vAlign w:val="center"/>
          </w:tcPr>
          <w:p>
            <w:pPr>
              <w:spacing w:after="40" w:before="40"/>
            </w:pPr>
            <w:r/>
            <w:r>
              <w:rPr>
                <w:rFonts w:ascii="Times New Roman" w:hAnsi="Times New Roman" w:eastAsia="宋体"/>
                <w:b w:val="0"/>
                <w:i w:val="0"/>
                <w:sz w:val="18"/>
              </w:rPr>
              <w:t>✓（5 折，3 种子）</w:t>
            </w:r>
          </w:p>
        </w:tc>
        <w:tc>
          <w:tcPr>
            <w:tcW w:type="dxa" w:w="1872"/>
            <w:vAlign w:val="center"/>
          </w:tcPr>
          <w:p>
            <w:pPr>
              <w:spacing w:after="40" w:before="40"/>
            </w:pPr>
            <w:r/>
            <w:r>
              <w:rPr>
                <w:rFonts w:ascii="Times New Roman" w:hAnsi="Times New Roman" w:eastAsia="宋体"/>
                <w:b w:val="0"/>
                <w:i w:val="0"/>
                <w:sz w:val="18"/>
              </w:rPr>
              <w:t>✓ 一次性评估，冻结阈值（相位 PR-AUC 0.412 / 测量 0.415；ROC-AUC 0.953 / 0.951）</w:t>
            </w:r>
          </w:p>
        </w:tc>
        <w:tc>
          <w:tcPr>
            <w:tcW w:type="dxa" w:w="1872"/>
            <w:vAlign w:val="center"/>
          </w:tcPr>
          <w:p>
            <w:pPr>
              <w:spacing w:after="40" w:before="40"/>
            </w:pPr>
            <w:r/>
            <w:r>
              <w:rPr>
                <w:rFonts w:ascii="Times New Roman" w:hAnsi="Times New Roman" w:eastAsia="宋体"/>
                <w:b w:val="0"/>
                <w:i w:val="0"/>
                <w:sz w:val="18"/>
              </w:rPr>
              <w:t>✗ 未评估（一次性协议）</w:t>
            </w:r>
          </w:p>
        </w:tc>
        <w:tc>
          <w:tcPr>
            <w:tcW w:type="dxa" w:w="1872"/>
            <w:vAlign w:val="center"/>
          </w:tcPr>
          <w:p>
            <w:pPr>
              <w:spacing w:after="40" w:before="40"/>
            </w:pPr>
            <w:r/>
            <w:r>
              <w:rPr>
                <w:rFonts w:ascii="Times New Roman" w:hAnsi="Times New Roman" w:eastAsia="宋体"/>
                <w:b w:val="0"/>
                <w:i w:val="0"/>
                <w:sz w:val="18"/>
              </w:rPr>
              <w:t>✓ 一次性评估，冻结收据</w:t>
            </w:r>
          </w:p>
        </w:tc>
      </w:tr>
    </w:tbl>
    <w:p>
      <w:pPr>
        <w:spacing w:before="0" w:after="40"/>
      </w:pPr>
    </w:p>
    <w:p>
      <w:pPr>
        <w:spacing w:before="0" w:after="120"/>
      </w:pPr>
      <w:r>
        <w:rPr>
          <w:rFonts w:ascii="Times New Roman" w:hAnsi="Times New Roman" w:eastAsia="宋体"/>
          <w:b/>
          <w:i w:val="0"/>
          <w:sz w:val="21"/>
        </w:rPr>
        <w:t>指标</w:t>
      </w:r>
      <w:r>
        <w:rPr>
          <w:rFonts w:ascii="Times New Roman" w:hAnsi="Times New Roman" w:eastAsia="宋体"/>
          <w:b w:val="0"/>
          <w:i w:val="0"/>
          <w:sz w:val="21"/>
        </w:rPr>
        <w:t>：主指标为 PR-AUC（相位级与测量级），辅以 ROC-AUC、MCC、F1、ECE（期望校准误差）与 Brier 分数；5 折逐折均值 ± 标准差为主要报告口径（第六节 A）。统计显著性由配对聚类 bootstrap（2,000 次重采样，按测量 ID 聚类）以 95% 置信区间评估；三种子均值（seeds 42, 7, 2024）提供稳定性验证。PR-AUC 优于 ROC-AUC 是因为极端类不平衡下它反映低阳性率时的精度 [22]。</w:t>
      </w:r>
    </w:p>
    <w:p>
      <w:pPr>
        <w:keepNext/>
        <w:spacing w:before="240" w:after="160"/>
      </w:pPr>
      <w:r>
        <w:rPr>
          <w:rFonts w:ascii="Times New Roman" w:hAnsi="Times New Roman" w:eastAsia="黑体"/>
          <w:b/>
          <w:i w:val="0"/>
          <w:color w:val="1F4D78"/>
          <w:sz w:val="24"/>
        </w:rPr>
        <w:t>B. 经典检测器基线与标注成本分析</w:t>
      </w:r>
    </w:p>
    <w:p>
      <w:pPr>
        <w:spacing w:before="0" w:after="120"/>
      </w:pPr>
      <w:r>
        <w:rPr>
          <w:rFonts w:ascii="Times New Roman" w:hAnsi="Times New Roman" w:eastAsia="宋体"/>
          <w:b w:val="0"/>
          <w:i w:val="0"/>
          <w:sz w:val="21"/>
        </w:rPr>
        <w:t>为将对比锚定在经典测量实践，本文评估三个无学习参数的经典检测器——能量阈值检测器、冲击性检测器（峰值因子 + 峰度）与频谱检测器——以及一个 PRPD 风格经典机器学习参照（物理特征上的逻辑回归，同折同 pooled-OOF 协议）。经典检测器应用于同一冻结特征缓存；阈值仅在开发集 pooled OOF 上选择（max-MCC）（脚本 `b1_classical_detectors.py`；输出 `results/classical_baselines/`）。</w:t>
      </w:r>
    </w:p>
    <w:p>
      <w:pPr>
        <w:spacing w:before="160" w:after="40"/>
      </w:pPr>
      <w:r>
        <w:rPr>
          <w:rFonts w:ascii="Times New Roman" w:hAnsi="Times New Roman" w:eastAsia="宋体"/>
          <w:b w:val="0"/>
          <w:i w:val="0"/>
          <w:sz w:val="18"/>
        </w:rPr>
        <w:t>表 II  经典检测器基线（开发集，pooled-OOF 协议，seed 42）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val="clear" w:fill="F4F6F9"/>
          </w:tcPr>
          <w:p>
            <w:pPr>
              <w:spacing w:after="40" w:before="40"/>
            </w:pPr>
            <w:r/>
            <w:r>
              <w:rPr>
                <w:rFonts w:ascii="Times New Roman" w:hAnsi="Times New Roman" w:eastAsia="宋体"/>
                <w:b/>
                <w:i w:val="0"/>
                <w:sz w:val="18"/>
              </w:rPr>
              <w:t>检测器</w:t>
            </w:r>
          </w:p>
        </w:tc>
        <w:tc>
          <w:tcPr>
            <w:tcW w:type="dxa" w:w="1560"/>
            <w:vAlign w:val="center"/>
            <w:shd w:val="clear" w:fill="F4F6F9"/>
          </w:tcPr>
          <w:p>
            <w:pPr>
              <w:spacing w:after="40" w:before="40"/>
            </w:pPr>
            <w:r/>
            <w:r>
              <w:rPr>
                <w:rFonts w:ascii="Times New Roman" w:hAnsi="Times New Roman" w:eastAsia="宋体"/>
                <w:b/>
                <w:i w:val="0"/>
                <w:sz w:val="18"/>
              </w:rPr>
              <w:t>相位 PR-AUC</w:t>
            </w:r>
          </w:p>
        </w:tc>
        <w:tc>
          <w:tcPr>
            <w:tcW w:type="dxa" w:w="1560"/>
            <w:vAlign w:val="center"/>
            <w:shd w:val="clear" w:fill="F4F6F9"/>
          </w:tcPr>
          <w:p>
            <w:pPr>
              <w:spacing w:after="40" w:before="40"/>
            </w:pPr>
            <w:r/>
            <w:r>
              <w:rPr>
                <w:rFonts w:ascii="Times New Roman" w:hAnsi="Times New Roman" w:eastAsia="宋体"/>
                <w:b/>
                <w:i w:val="0"/>
                <w:sz w:val="18"/>
              </w:rPr>
              <w:t>相位 ROC-AUC</w:t>
            </w:r>
          </w:p>
        </w:tc>
        <w:tc>
          <w:tcPr>
            <w:tcW w:type="dxa" w:w="1560"/>
            <w:vAlign w:val="center"/>
            <w:shd w:val="clear" w:fill="F4F6F9"/>
          </w:tcPr>
          <w:p>
            <w:pPr>
              <w:spacing w:after="40" w:before="40"/>
            </w:pPr>
            <w:r/>
            <w:r>
              <w:rPr>
                <w:rFonts w:ascii="Times New Roman" w:hAnsi="Times New Roman" w:eastAsia="宋体"/>
                <w:b/>
                <w:i w:val="0"/>
                <w:sz w:val="18"/>
              </w:rPr>
              <w:t>MCC</w:t>
            </w:r>
          </w:p>
        </w:tc>
        <w:tc>
          <w:tcPr>
            <w:tcW w:type="dxa" w:w="1560"/>
            <w:vAlign w:val="center"/>
            <w:shd w:val="clear" w:fill="F4F6F9"/>
          </w:tcPr>
          <w:p>
            <w:pPr>
              <w:spacing w:after="40" w:before="40"/>
            </w:pPr>
            <w:r/>
            <w:r>
              <w:rPr>
                <w:rFonts w:ascii="Times New Roman" w:hAnsi="Times New Roman" w:eastAsia="宋体"/>
                <w:b/>
                <w:i w:val="0"/>
                <w:sz w:val="18"/>
              </w:rPr>
              <w:t>F1</w:t>
            </w:r>
          </w:p>
        </w:tc>
        <w:tc>
          <w:tcPr>
            <w:tcW w:type="dxa" w:w="1560"/>
            <w:vAlign w:val="center"/>
            <w:shd w:val="clear" w:fill="F4F6F9"/>
          </w:tcPr>
          <w:p>
            <w:pPr>
              <w:spacing w:after="40" w:before="40"/>
            </w:pPr>
            <w:r/>
            <w:r>
              <w:rPr>
                <w:rFonts w:ascii="Times New Roman" w:hAnsi="Times New Roman" w:eastAsia="宋体"/>
                <w:b/>
                <w:i w:val="0"/>
                <w:sz w:val="18"/>
              </w:rPr>
              <w:t>类型</w:t>
            </w:r>
          </w:p>
        </w:tc>
      </w:tr>
      <w:tr>
        <w:tc>
          <w:tcPr>
            <w:tcW w:type="dxa" w:w="1560"/>
            <w:vAlign w:val="center"/>
          </w:tcPr>
          <w:p>
            <w:pPr>
              <w:spacing w:after="40" w:before="40"/>
            </w:pPr>
            <w:r/>
            <w:r>
              <w:rPr>
                <w:rFonts w:ascii="Times New Roman" w:hAnsi="Times New Roman" w:eastAsia="宋体"/>
                <w:b w:val="0"/>
                <w:i w:val="0"/>
                <w:sz w:val="18"/>
              </w:rPr>
              <w:t>能量阈值</w:t>
            </w:r>
          </w:p>
        </w:tc>
        <w:tc>
          <w:tcPr>
            <w:tcW w:type="dxa" w:w="1560"/>
            <w:vAlign w:val="center"/>
          </w:tcPr>
          <w:p>
            <w:pPr>
              <w:spacing w:after="40" w:before="40"/>
            </w:pPr>
            <w:r/>
            <w:r>
              <w:rPr>
                <w:rFonts w:ascii="Times New Roman" w:hAnsi="Times New Roman" w:eastAsia="宋体"/>
                <w:b w:val="0"/>
                <w:i w:val="0"/>
                <w:sz w:val="18"/>
              </w:rPr>
              <w:t>0.055</w:t>
            </w:r>
          </w:p>
        </w:tc>
        <w:tc>
          <w:tcPr>
            <w:tcW w:type="dxa" w:w="1560"/>
            <w:vAlign w:val="center"/>
          </w:tcPr>
          <w:p>
            <w:pPr>
              <w:spacing w:after="40" w:before="40"/>
            </w:pPr>
            <w:r/>
            <w:r>
              <w:rPr>
                <w:rFonts w:ascii="Times New Roman" w:hAnsi="Times New Roman" w:eastAsia="宋体"/>
                <w:b w:val="0"/>
                <w:i w:val="0"/>
                <w:sz w:val="18"/>
              </w:rPr>
              <w:t>0.415</w:t>
            </w:r>
          </w:p>
        </w:tc>
        <w:tc>
          <w:tcPr>
            <w:tcW w:type="dxa" w:w="1560"/>
            <w:vAlign w:val="center"/>
          </w:tcPr>
          <w:p>
            <w:pPr>
              <w:spacing w:after="40" w:before="40"/>
            </w:pPr>
            <w:r/>
            <w:r>
              <w:rPr>
                <w:rFonts w:ascii="Times New Roman" w:hAnsi="Times New Roman" w:eastAsia="宋体"/>
                <w:b w:val="0"/>
                <w:i w:val="0"/>
                <w:sz w:val="18"/>
              </w:rPr>
              <w:t>0.042</w:t>
            </w:r>
          </w:p>
        </w:tc>
        <w:tc>
          <w:tcPr>
            <w:tcW w:type="dxa" w:w="1560"/>
            <w:vAlign w:val="center"/>
          </w:tcPr>
          <w:p>
            <w:pPr>
              <w:spacing w:after="40" w:before="40"/>
            </w:pPr>
            <w:r/>
            <w:r>
              <w:rPr>
                <w:rFonts w:ascii="Times New Roman" w:hAnsi="Times New Roman" w:eastAsia="宋体"/>
                <w:b w:val="0"/>
                <w:i w:val="0"/>
                <w:sz w:val="18"/>
              </w:rPr>
              <w:t>0.018</w:t>
            </w:r>
          </w:p>
        </w:tc>
        <w:tc>
          <w:tcPr>
            <w:tcW w:type="dxa" w:w="1560"/>
            <w:vAlign w:val="center"/>
          </w:tcPr>
          <w:p>
            <w:pPr>
              <w:spacing w:after="40" w:before="40"/>
            </w:pPr>
            <w:r/>
            <w:r>
              <w:rPr>
                <w:rFonts w:ascii="Times New Roman" w:hAnsi="Times New Roman" w:eastAsia="宋体"/>
                <w:b w:val="0"/>
                <w:i w:val="0"/>
                <w:sz w:val="18"/>
              </w:rPr>
              <w:t>经典，无学习</w:t>
            </w:r>
          </w:p>
        </w:tc>
      </w:tr>
      <w:tr>
        <w:tc>
          <w:tcPr>
            <w:tcW w:type="dxa" w:w="1560"/>
            <w:vAlign w:val="center"/>
          </w:tcPr>
          <w:p>
            <w:pPr>
              <w:spacing w:after="40" w:before="40"/>
            </w:pPr>
            <w:r/>
            <w:r>
              <w:rPr>
                <w:rFonts w:ascii="Times New Roman" w:hAnsi="Times New Roman" w:eastAsia="宋体"/>
                <w:b w:val="0"/>
                <w:i w:val="0"/>
                <w:sz w:val="18"/>
              </w:rPr>
              <w:t>冲击性（峰值因子/峰度）</w:t>
            </w:r>
          </w:p>
        </w:tc>
        <w:tc>
          <w:tcPr>
            <w:tcW w:type="dxa" w:w="1560"/>
            <w:vAlign w:val="center"/>
          </w:tcPr>
          <w:p>
            <w:pPr>
              <w:spacing w:after="40" w:before="40"/>
            </w:pPr>
            <w:r/>
            <w:r>
              <w:rPr>
                <w:rFonts w:ascii="Times New Roman" w:hAnsi="Times New Roman" w:eastAsia="宋体"/>
                <w:b w:val="0"/>
                <w:i w:val="0"/>
                <w:sz w:val="18"/>
              </w:rPr>
              <w:t>0.104</w:t>
            </w:r>
          </w:p>
        </w:tc>
        <w:tc>
          <w:tcPr>
            <w:tcW w:type="dxa" w:w="1560"/>
            <w:vAlign w:val="center"/>
          </w:tcPr>
          <w:p>
            <w:pPr>
              <w:spacing w:after="40" w:before="40"/>
            </w:pPr>
            <w:r/>
            <w:r>
              <w:rPr>
                <w:rFonts w:ascii="Times New Roman" w:hAnsi="Times New Roman" w:eastAsia="宋体"/>
                <w:b w:val="0"/>
                <w:i w:val="0"/>
                <w:sz w:val="18"/>
              </w:rPr>
              <w:t>0.715</w:t>
            </w:r>
          </w:p>
        </w:tc>
        <w:tc>
          <w:tcPr>
            <w:tcW w:type="dxa" w:w="1560"/>
            <w:vAlign w:val="center"/>
          </w:tcPr>
          <w:p>
            <w:pPr>
              <w:spacing w:after="40" w:before="40"/>
            </w:pPr>
            <w:r/>
            <w:r>
              <w:rPr>
                <w:rFonts w:ascii="Times New Roman" w:hAnsi="Times New Roman" w:eastAsia="宋体"/>
                <w:b w:val="0"/>
                <w:i w:val="0"/>
                <w:sz w:val="18"/>
              </w:rPr>
              <w:t>0.162</w:t>
            </w:r>
          </w:p>
        </w:tc>
        <w:tc>
          <w:tcPr>
            <w:tcW w:type="dxa" w:w="1560"/>
            <w:vAlign w:val="center"/>
          </w:tcPr>
          <w:p>
            <w:pPr>
              <w:spacing w:after="40" w:before="40"/>
            </w:pPr>
            <w:r/>
            <w:r>
              <w:rPr>
                <w:rFonts w:ascii="Times New Roman" w:hAnsi="Times New Roman" w:eastAsia="宋体"/>
                <w:b w:val="0"/>
                <w:i w:val="0"/>
                <w:sz w:val="18"/>
              </w:rPr>
              <w:t>0.176</w:t>
            </w:r>
          </w:p>
        </w:tc>
        <w:tc>
          <w:tcPr>
            <w:tcW w:type="dxa" w:w="1560"/>
            <w:vAlign w:val="center"/>
          </w:tcPr>
          <w:p>
            <w:pPr>
              <w:spacing w:after="40" w:before="40"/>
            </w:pPr>
            <w:r/>
            <w:r>
              <w:rPr>
                <w:rFonts w:ascii="Times New Roman" w:hAnsi="Times New Roman" w:eastAsia="宋体"/>
                <w:b w:val="0"/>
                <w:i w:val="0"/>
                <w:sz w:val="18"/>
              </w:rPr>
              <w:t>经典，无学习</w:t>
            </w:r>
          </w:p>
        </w:tc>
      </w:tr>
      <w:tr>
        <w:tc>
          <w:tcPr>
            <w:tcW w:type="dxa" w:w="1560"/>
            <w:vAlign w:val="center"/>
          </w:tcPr>
          <w:p>
            <w:pPr>
              <w:spacing w:after="40" w:before="40"/>
            </w:pPr>
            <w:r/>
            <w:r>
              <w:rPr>
                <w:rFonts w:ascii="Times New Roman" w:hAnsi="Times New Roman" w:eastAsia="宋体"/>
                <w:b w:val="0"/>
                <w:i w:val="0"/>
                <w:sz w:val="18"/>
              </w:rPr>
              <w:t>频谱（质心 + 频带能量）</w:t>
            </w:r>
          </w:p>
        </w:tc>
        <w:tc>
          <w:tcPr>
            <w:tcW w:type="dxa" w:w="1560"/>
            <w:vAlign w:val="center"/>
          </w:tcPr>
          <w:p>
            <w:pPr>
              <w:spacing w:after="40" w:before="40"/>
            </w:pPr>
            <w:r/>
            <w:r>
              <w:rPr>
                <w:rFonts w:ascii="Times New Roman" w:hAnsi="Times New Roman" w:eastAsia="宋体"/>
                <w:b w:val="0"/>
                <w:i w:val="0"/>
                <w:sz w:val="18"/>
              </w:rPr>
              <w:t>0.088</w:t>
            </w:r>
          </w:p>
        </w:tc>
        <w:tc>
          <w:tcPr>
            <w:tcW w:type="dxa" w:w="1560"/>
            <w:vAlign w:val="center"/>
          </w:tcPr>
          <w:p>
            <w:pPr>
              <w:spacing w:after="40" w:before="40"/>
            </w:pPr>
            <w:r/>
            <w:r>
              <w:rPr>
                <w:rFonts w:ascii="Times New Roman" w:hAnsi="Times New Roman" w:eastAsia="宋体"/>
                <w:b w:val="0"/>
                <w:i w:val="0"/>
                <w:sz w:val="18"/>
              </w:rPr>
              <w:t>0.610</w:t>
            </w:r>
          </w:p>
        </w:tc>
        <w:tc>
          <w:tcPr>
            <w:tcW w:type="dxa" w:w="1560"/>
            <w:vAlign w:val="center"/>
          </w:tcPr>
          <w:p>
            <w:pPr>
              <w:spacing w:after="40" w:before="40"/>
            </w:pPr>
            <w:r/>
            <w:r>
              <w:rPr>
                <w:rFonts w:ascii="Times New Roman" w:hAnsi="Times New Roman" w:eastAsia="宋体"/>
                <w:b w:val="0"/>
                <w:i w:val="0"/>
                <w:sz w:val="18"/>
              </w:rPr>
              <w:t>0.094</w:t>
            </w:r>
          </w:p>
        </w:tc>
        <w:tc>
          <w:tcPr>
            <w:tcW w:type="dxa" w:w="1560"/>
            <w:vAlign w:val="center"/>
          </w:tcPr>
          <w:p>
            <w:pPr>
              <w:spacing w:after="40" w:before="40"/>
            </w:pPr>
            <w:r/>
            <w:r>
              <w:rPr>
                <w:rFonts w:ascii="Times New Roman" w:hAnsi="Times New Roman" w:eastAsia="宋体"/>
                <w:b w:val="0"/>
                <w:i w:val="0"/>
                <w:sz w:val="18"/>
              </w:rPr>
              <w:t>0.161</w:t>
            </w:r>
          </w:p>
        </w:tc>
        <w:tc>
          <w:tcPr>
            <w:tcW w:type="dxa" w:w="1560"/>
            <w:vAlign w:val="center"/>
          </w:tcPr>
          <w:p>
            <w:pPr>
              <w:spacing w:after="40" w:before="40"/>
            </w:pPr>
            <w:r/>
            <w:r>
              <w:rPr>
                <w:rFonts w:ascii="Times New Roman" w:hAnsi="Times New Roman" w:eastAsia="宋体"/>
                <w:b w:val="0"/>
                <w:i w:val="0"/>
                <w:sz w:val="18"/>
              </w:rPr>
              <w:t>经典，无学习</w:t>
            </w:r>
          </w:p>
        </w:tc>
      </w:tr>
      <w:tr>
        <w:tc>
          <w:tcPr>
            <w:tcW w:type="dxa" w:w="1560"/>
            <w:vAlign w:val="center"/>
          </w:tcPr>
          <w:p>
            <w:pPr>
              <w:spacing w:after="40" w:before="40"/>
            </w:pPr>
            <w:r/>
            <w:r>
              <w:rPr>
                <w:rFonts w:ascii="Times New Roman" w:hAnsi="Times New Roman" w:eastAsia="宋体"/>
                <w:b w:val="0"/>
                <w:i w:val="0"/>
                <w:sz w:val="18"/>
              </w:rPr>
              <w:t>PRPD 风格特征 + LR</w:t>
            </w:r>
          </w:p>
        </w:tc>
        <w:tc>
          <w:tcPr>
            <w:tcW w:type="dxa" w:w="1560"/>
            <w:vAlign w:val="center"/>
          </w:tcPr>
          <w:p>
            <w:pPr>
              <w:spacing w:after="40" w:before="40"/>
            </w:pPr>
            <w:r/>
            <w:r>
              <w:rPr>
                <w:rFonts w:ascii="Times New Roman" w:hAnsi="Times New Roman" w:eastAsia="宋体"/>
                <w:b w:val="0"/>
                <w:i w:val="0"/>
                <w:sz w:val="18"/>
              </w:rPr>
              <w:t>0.323</w:t>
            </w:r>
          </w:p>
        </w:tc>
        <w:tc>
          <w:tcPr>
            <w:tcW w:type="dxa" w:w="1560"/>
            <w:vAlign w:val="center"/>
          </w:tcPr>
          <w:p>
            <w:pPr>
              <w:spacing w:after="40" w:before="40"/>
            </w:pPr>
            <w:r/>
            <w:r>
              <w:rPr>
                <w:rFonts w:ascii="Times New Roman" w:hAnsi="Times New Roman" w:eastAsia="宋体"/>
                <w:b w:val="0"/>
                <w:i w:val="0"/>
                <w:sz w:val="18"/>
              </w:rPr>
              <w:t>0.861</w:t>
            </w:r>
          </w:p>
        </w:tc>
        <w:tc>
          <w:tcPr>
            <w:tcW w:type="dxa" w:w="1560"/>
            <w:vAlign w:val="center"/>
          </w:tcPr>
          <w:p>
            <w:pPr>
              <w:spacing w:after="40" w:before="40"/>
            </w:pPr>
            <w:r/>
            <w:r>
              <w:rPr>
                <w:rFonts w:ascii="Times New Roman" w:hAnsi="Times New Roman" w:eastAsia="宋体"/>
                <w:b w:val="0"/>
                <w:i w:val="0"/>
                <w:sz w:val="18"/>
              </w:rPr>
              <w:t>0.358</w:t>
            </w:r>
          </w:p>
        </w:tc>
        <w:tc>
          <w:tcPr>
            <w:tcW w:type="dxa" w:w="1560"/>
            <w:vAlign w:val="center"/>
          </w:tcPr>
          <w:p>
            <w:pPr>
              <w:spacing w:after="40" w:before="40"/>
            </w:pPr>
            <w:r/>
            <w:r>
              <w:rPr>
                <w:rFonts w:ascii="Times New Roman" w:hAnsi="Times New Roman" w:eastAsia="宋体"/>
                <w:b w:val="0"/>
                <w:i w:val="0"/>
                <w:sz w:val="18"/>
              </w:rPr>
              <w:t>0.395</w:t>
            </w:r>
          </w:p>
        </w:tc>
        <w:tc>
          <w:tcPr>
            <w:tcW w:type="dxa" w:w="1560"/>
            <w:vAlign w:val="center"/>
          </w:tcPr>
          <w:p>
            <w:pPr>
              <w:spacing w:after="40" w:before="40"/>
            </w:pPr>
            <w:r/>
            <w:r>
              <w:rPr>
                <w:rFonts w:ascii="Times New Roman" w:hAnsi="Times New Roman" w:eastAsia="宋体"/>
                <w:b w:val="0"/>
                <w:i w:val="0"/>
                <w:sz w:val="18"/>
              </w:rPr>
              <w:t>经典机器学习（同折/OOF）</w:t>
            </w:r>
          </w:p>
        </w:tc>
      </w:tr>
      <w:tr>
        <w:tc>
          <w:tcPr>
            <w:tcW w:type="dxa" w:w="1560"/>
            <w:vAlign w:val="center"/>
          </w:tcPr>
          <w:p>
            <w:pPr>
              <w:spacing w:after="40" w:before="40"/>
            </w:pPr>
            <w:r/>
            <w:r>
              <w:rPr>
                <w:rFonts w:ascii="Times New Roman" w:hAnsi="Times New Roman" w:eastAsia="宋体"/>
                <w:b w:val="0"/>
                <w:i w:val="0"/>
                <w:sz w:val="18"/>
              </w:rPr>
              <w:t>**E4 主模型（参照）**</w:t>
            </w:r>
          </w:p>
        </w:tc>
        <w:tc>
          <w:tcPr>
            <w:tcW w:type="dxa" w:w="1560"/>
            <w:vAlign w:val="center"/>
          </w:tcPr>
          <w:p>
            <w:pPr>
              <w:spacing w:after="40" w:before="40"/>
            </w:pPr>
            <w:r/>
            <w:r>
              <w:rPr>
                <w:rFonts w:ascii="Times New Roman" w:hAnsi="Times New Roman" w:eastAsia="宋体"/>
                <w:b w:val="0"/>
                <w:i w:val="0"/>
                <w:sz w:val="18"/>
              </w:rPr>
              <w:t>**0.530**</w:t>
            </w:r>
          </w:p>
        </w:tc>
        <w:tc>
          <w:tcPr>
            <w:tcW w:type="dxa" w:w="1560"/>
            <w:vAlign w:val="center"/>
          </w:tcPr>
          <w:p>
            <w:pPr>
              <w:spacing w:after="40" w:before="40"/>
            </w:pPr>
            <w:r/>
            <w:r>
              <w:rPr>
                <w:rFonts w:ascii="Times New Roman" w:hAnsi="Times New Roman" w:eastAsia="宋体"/>
                <w:b w:val="0"/>
                <w:i w:val="0"/>
                <w:sz w:val="18"/>
              </w:rPr>
              <w:t>**0.881**</w:t>
            </w:r>
          </w:p>
        </w:tc>
        <w:tc>
          <w:tcPr>
            <w:tcW w:type="dxa" w:w="1560"/>
            <w:vAlign w:val="center"/>
          </w:tcPr>
          <w:p>
            <w:pPr>
              <w:spacing w:after="40" w:before="40"/>
            </w:pPr>
            <w:r/>
            <w:r>
              <w:rPr>
                <w:rFonts w:ascii="Times New Roman" w:hAnsi="Times New Roman" w:eastAsia="宋体"/>
                <w:b w:val="0"/>
                <w:i w:val="0"/>
                <w:sz w:val="18"/>
              </w:rPr>
              <w:t>—</w:t>
            </w:r>
          </w:p>
        </w:tc>
        <w:tc>
          <w:tcPr>
            <w:tcW w:type="dxa" w:w="1560"/>
            <w:vAlign w:val="center"/>
          </w:tcPr>
          <w:p>
            <w:pPr>
              <w:spacing w:after="40" w:before="40"/>
            </w:pPr>
            <w:r/>
            <w:r>
              <w:rPr>
                <w:rFonts w:ascii="Times New Roman" w:hAnsi="Times New Roman" w:eastAsia="宋体"/>
                <w:b w:val="0"/>
                <w:i w:val="0"/>
                <w:sz w:val="18"/>
              </w:rPr>
              <w:t>—</w:t>
            </w:r>
          </w:p>
        </w:tc>
        <w:tc>
          <w:tcPr>
            <w:tcW w:type="dxa" w:w="1560"/>
            <w:vAlign w:val="center"/>
          </w:tcPr>
          <w:p>
            <w:pPr>
              <w:spacing w:after="40" w:before="40"/>
            </w:pPr>
            <w:r/>
            <w:r>
              <w:rPr>
                <w:rFonts w:ascii="Times New Roman" w:hAnsi="Times New Roman" w:eastAsia="宋体"/>
                <w:b w:val="0"/>
                <w:i w:val="0"/>
                <w:sz w:val="18"/>
              </w:rPr>
              <w:t>本文方法（pooled-OOF）</w:t>
            </w:r>
          </w:p>
        </w:tc>
      </w:tr>
    </w:tbl>
    <w:p>
      <w:pPr>
        <w:spacing w:before="0" w:after="40"/>
      </w:pPr>
    </w:p>
    <w:p>
      <w:pPr>
        <w:spacing w:before="0" w:after="120"/>
      </w:pPr>
      <w:r>
        <w:rPr>
          <w:rFonts w:ascii="Times New Roman" w:hAnsi="Times New Roman" w:eastAsia="宋体"/>
          <w:b w:val="0"/>
          <w:i w:val="0"/>
          <w:sz w:val="21"/>
        </w:rPr>
        <w:t>经典检测器——即使无学习参数——已捕获 PD 的部分冲击结构（冲击性检测器 ROC-AUC 0.715），但其相位级 PR-AUC（0.055–0.104）比 E4 主模型（0.530 pooled-OOF；0.615 逐折均值）低一个数量级，最强经典机器学习参照（PRPD 风格特征 + LR，0.323）也显著低于 E4。这一对比隔离了事件聚焦信息选择与层级弱监督的贡献：仅靠经典特征、没有覆盖感知采样与窗口到相位聚合，无法解决测量任务的极端不平衡。</w:t>
      </w:r>
    </w:p>
    <w:p>
      <w:pPr>
        <w:spacing w:before="0" w:after="120"/>
      </w:pPr>
      <w:r>
        <w:rPr>
          <w:rFonts w:ascii="Times New Roman" w:hAnsi="Times New Roman" w:eastAsia="宋体"/>
          <w:b/>
          <w:i w:val="0"/>
          <w:sz w:val="21"/>
        </w:rPr>
        <w:t>标注成本分析</w:t>
      </w:r>
      <w:r>
        <w:rPr>
          <w:rFonts w:ascii="Times New Roman" w:hAnsi="Times New Roman" w:eastAsia="宋体"/>
          <w:b w:val="0"/>
          <w:i w:val="0"/>
          <w:sz w:val="21"/>
        </w:rPr>
        <w:t>：为量化弱监督管线的标注成本优势，本文在精确协议下重训 E4 主模型，仅保留每折训练部分比例 f 的相位标签（按测量整组保留，保留测量的三相全部保留；验证部分始终保留全标签用于早停与阈值选择，测量各标注预算下的真实性能上限）。结果（逐折均值相位 PR-AUC，seed 42）：</w:t>
      </w:r>
    </w:p>
    <w:p>
      <w:pPr>
        <w:spacing w:before="160" w:after="40"/>
      </w:pPr>
      <w:r>
        <w:rPr>
          <w:rFonts w:ascii="Times New Roman" w:hAnsi="Times New Roman" w:eastAsia="宋体"/>
          <w:b w:val="0"/>
          <w:i w:val="0"/>
          <w:sz w:val="18"/>
        </w:rPr>
        <w:t>表 II-A  标注比例实验（弱监督，seed 42，逐折均值）</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fill="F4F6F9"/>
          </w:tcPr>
          <w:p>
            <w:pPr>
              <w:spacing w:after="40" w:before="40"/>
            </w:pPr>
            <w:r/>
            <w:r>
              <w:rPr>
                <w:rFonts w:ascii="Times New Roman" w:hAnsi="Times New Roman" w:eastAsia="宋体"/>
                <w:b/>
                <w:i w:val="0"/>
                <w:sz w:val="18"/>
              </w:rPr>
              <w:t>标注比例</w:t>
            </w:r>
          </w:p>
        </w:tc>
        <w:tc>
          <w:tcPr>
            <w:tcW w:type="dxa" w:w="2340"/>
            <w:vAlign w:val="center"/>
            <w:shd w:val="clear" w:fill="F4F6F9"/>
          </w:tcPr>
          <w:p>
            <w:pPr>
              <w:spacing w:after="40" w:before="40"/>
            </w:pPr>
            <w:r/>
            <w:r>
              <w:rPr>
                <w:rFonts w:ascii="Times New Roman" w:hAnsi="Times New Roman" w:eastAsia="宋体"/>
                <w:b/>
                <w:i w:val="0"/>
                <w:sz w:val="18"/>
              </w:rPr>
              <w:t>相位 PR-AUC</w:t>
            </w:r>
          </w:p>
        </w:tc>
        <w:tc>
          <w:tcPr>
            <w:tcW w:type="dxa" w:w="2340"/>
            <w:vAlign w:val="center"/>
            <w:shd w:val="clear" w:fill="F4F6F9"/>
          </w:tcPr>
          <w:p>
            <w:pPr>
              <w:spacing w:after="40" w:before="40"/>
            </w:pPr>
            <w:r/>
            <w:r>
              <w:rPr>
                <w:rFonts w:ascii="Times New Roman" w:hAnsi="Times New Roman" w:eastAsia="宋体"/>
                <w:b/>
                <w:i w:val="0"/>
                <w:sz w:val="18"/>
              </w:rPr>
              <w:t>相对 100%</w:t>
            </w:r>
          </w:p>
        </w:tc>
        <w:tc>
          <w:tcPr>
            <w:tcW w:type="dxa" w:w="2340"/>
            <w:vAlign w:val="center"/>
            <w:shd w:val="clear" w:fill="F4F6F9"/>
          </w:tcPr>
          <w:p>
            <w:pPr>
              <w:spacing w:after="40" w:before="40"/>
            </w:pPr>
            <w:r/>
            <w:r>
              <w:rPr>
                <w:rFonts w:ascii="Times New Roman" w:hAnsi="Times New Roman" w:eastAsia="宋体"/>
                <w:b/>
                <w:i w:val="0"/>
                <w:sz w:val="18"/>
              </w:rPr>
              <w:t>测量 PR-AUC</w:t>
            </w:r>
          </w:p>
        </w:tc>
      </w:tr>
      <w:tr>
        <w:tc>
          <w:tcPr>
            <w:tcW w:type="dxa" w:w="2340"/>
            <w:vAlign w:val="center"/>
          </w:tcPr>
          <w:p>
            <w:pPr>
              <w:spacing w:after="40" w:before="40"/>
            </w:pPr>
            <w:r/>
            <w:r>
              <w:rPr>
                <w:rFonts w:ascii="Times New Roman" w:hAnsi="Times New Roman" w:eastAsia="宋体"/>
                <w:b w:val="0"/>
                <w:i w:val="0"/>
                <w:sz w:val="18"/>
              </w:rPr>
              <w:t>5%</w:t>
            </w:r>
          </w:p>
        </w:tc>
        <w:tc>
          <w:tcPr>
            <w:tcW w:type="dxa" w:w="2340"/>
            <w:vAlign w:val="center"/>
          </w:tcPr>
          <w:p>
            <w:pPr>
              <w:spacing w:after="40" w:before="40"/>
            </w:pPr>
            <w:r/>
            <w:r>
              <w:rPr>
                <w:rFonts w:ascii="Times New Roman" w:hAnsi="Times New Roman" w:eastAsia="宋体"/>
                <w:b w:val="0"/>
                <w:i w:val="0"/>
                <w:sz w:val="18"/>
              </w:rPr>
              <w:t>0.272</w:t>
            </w:r>
          </w:p>
        </w:tc>
        <w:tc>
          <w:tcPr>
            <w:tcW w:type="dxa" w:w="2340"/>
            <w:vAlign w:val="center"/>
          </w:tcPr>
          <w:p>
            <w:pPr>
              <w:spacing w:after="40" w:before="40"/>
            </w:pPr>
            <w:r/>
            <w:r>
              <w:rPr>
                <w:rFonts w:ascii="Times New Roman" w:hAnsi="Times New Roman" w:eastAsia="宋体"/>
                <w:b w:val="0"/>
                <w:i w:val="0"/>
                <w:sz w:val="18"/>
              </w:rPr>
              <w:t>44%</w:t>
            </w:r>
          </w:p>
        </w:tc>
        <w:tc>
          <w:tcPr>
            <w:tcW w:type="dxa" w:w="2340"/>
            <w:vAlign w:val="center"/>
          </w:tcPr>
          <w:p>
            <w:pPr>
              <w:spacing w:after="40" w:before="40"/>
            </w:pPr>
            <w:r/>
            <w:r>
              <w:rPr>
                <w:rFonts w:ascii="Times New Roman" w:hAnsi="Times New Roman" w:eastAsia="宋体"/>
                <w:b w:val="0"/>
                <w:i w:val="0"/>
                <w:sz w:val="18"/>
              </w:rPr>
              <w:t>0.340</w:t>
            </w:r>
          </w:p>
        </w:tc>
      </w:tr>
      <w:tr>
        <w:tc>
          <w:tcPr>
            <w:tcW w:type="dxa" w:w="2340"/>
            <w:vAlign w:val="center"/>
          </w:tcPr>
          <w:p>
            <w:pPr>
              <w:spacing w:after="40" w:before="40"/>
            </w:pPr>
            <w:r/>
            <w:r>
              <w:rPr>
                <w:rFonts w:ascii="Times New Roman" w:hAnsi="Times New Roman" w:eastAsia="宋体"/>
                <w:b w:val="0"/>
                <w:i w:val="0"/>
                <w:sz w:val="18"/>
              </w:rPr>
              <w:t>10%</w:t>
            </w:r>
          </w:p>
        </w:tc>
        <w:tc>
          <w:tcPr>
            <w:tcW w:type="dxa" w:w="2340"/>
            <w:vAlign w:val="center"/>
          </w:tcPr>
          <w:p>
            <w:pPr>
              <w:spacing w:after="40" w:before="40"/>
            </w:pPr>
            <w:r/>
            <w:r>
              <w:rPr>
                <w:rFonts w:ascii="Times New Roman" w:hAnsi="Times New Roman" w:eastAsia="宋体"/>
                <w:b w:val="0"/>
                <w:i w:val="0"/>
                <w:sz w:val="18"/>
              </w:rPr>
              <w:t>0.346</w:t>
            </w:r>
          </w:p>
        </w:tc>
        <w:tc>
          <w:tcPr>
            <w:tcW w:type="dxa" w:w="2340"/>
            <w:vAlign w:val="center"/>
          </w:tcPr>
          <w:p>
            <w:pPr>
              <w:spacing w:after="40" w:before="40"/>
            </w:pPr>
            <w:r/>
            <w:r>
              <w:rPr>
                <w:rFonts w:ascii="Times New Roman" w:hAnsi="Times New Roman" w:eastAsia="宋体"/>
                <w:b w:val="0"/>
                <w:i w:val="0"/>
                <w:sz w:val="18"/>
              </w:rPr>
              <w:t>56%</w:t>
            </w:r>
          </w:p>
        </w:tc>
        <w:tc>
          <w:tcPr>
            <w:tcW w:type="dxa" w:w="2340"/>
            <w:vAlign w:val="center"/>
          </w:tcPr>
          <w:p>
            <w:pPr>
              <w:spacing w:after="40" w:before="40"/>
            </w:pPr>
            <w:r/>
            <w:r>
              <w:rPr>
                <w:rFonts w:ascii="Times New Roman" w:hAnsi="Times New Roman" w:eastAsia="宋体"/>
                <w:b w:val="0"/>
                <w:i w:val="0"/>
                <w:sz w:val="18"/>
              </w:rPr>
              <w:t>0.396</w:t>
            </w:r>
          </w:p>
        </w:tc>
      </w:tr>
      <w:tr>
        <w:tc>
          <w:tcPr>
            <w:tcW w:type="dxa" w:w="2340"/>
            <w:vAlign w:val="center"/>
          </w:tcPr>
          <w:p>
            <w:pPr>
              <w:spacing w:after="40" w:before="40"/>
            </w:pPr>
            <w:r/>
            <w:r>
              <w:rPr>
                <w:rFonts w:ascii="Times New Roman" w:hAnsi="Times New Roman" w:eastAsia="宋体"/>
                <w:b w:val="0"/>
                <w:i w:val="0"/>
                <w:sz w:val="18"/>
              </w:rPr>
              <w:t>20%</w:t>
            </w:r>
          </w:p>
        </w:tc>
        <w:tc>
          <w:tcPr>
            <w:tcW w:type="dxa" w:w="2340"/>
            <w:vAlign w:val="center"/>
          </w:tcPr>
          <w:p>
            <w:pPr>
              <w:spacing w:after="40" w:before="40"/>
            </w:pPr>
            <w:r/>
            <w:r>
              <w:rPr>
                <w:rFonts w:ascii="Times New Roman" w:hAnsi="Times New Roman" w:eastAsia="宋体"/>
                <w:b w:val="0"/>
                <w:i w:val="0"/>
                <w:sz w:val="18"/>
              </w:rPr>
              <w:t>0.355（标注种子 {42, 7, 2024} 上 0.377 ± 0.021）</w:t>
            </w:r>
          </w:p>
        </w:tc>
        <w:tc>
          <w:tcPr>
            <w:tcW w:type="dxa" w:w="2340"/>
            <w:vAlign w:val="center"/>
          </w:tcPr>
          <w:p>
            <w:pPr>
              <w:spacing w:after="40" w:before="40"/>
            </w:pPr>
            <w:r/>
            <w:r>
              <w:rPr>
                <w:rFonts w:ascii="Times New Roman" w:hAnsi="Times New Roman" w:eastAsia="宋体"/>
                <w:b w:val="0"/>
                <w:i w:val="0"/>
                <w:sz w:val="18"/>
              </w:rPr>
              <w:t>58–61%</w:t>
            </w:r>
          </w:p>
        </w:tc>
        <w:tc>
          <w:tcPr>
            <w:tcW w:type="dxa" w:w="2340"/>
            <w:vAlign w:val="center"/>
          </w:tcPr>
          <w:p>
            <w:pPr>
              <w:spacing w:after="40" w:before="40"/>
            </w:pPr>
            <w:r/>
            <w:r>
              <w:rPr>
                <w:rFonts w:ascii="Times New Roman" w:hAnsi="Times New Roman" w:eastAsia="宋体"/>
                <w:b w:val="0"/>
                <w:i w:val="0"/>
                <w:sz w:val="18"/>
              </w:rPr>
              <w:t>0.413（0.450 ± 0.005）</w:t>
            </w:r>
          </w:p>
        </w:tc>
      </w:tr>
      <w:tr>
        <w:tc>
          <w:tcPr>
            <w:tcW w:type="dxa" w:w="2340"/>
            <w:vAlign w:val="center"/>
          </w:tcPr>
          <w:p>
            <w:pPr>
              <w:spacing w:after="40" w:before="40"/>
            </w:pPr>
            <w:r/>
            <w:r>
              <w:rPr>
                <w:rFonts w:ascii="Times New Roman" w:hAnsi="Times New Roman" w:eastAsia="宋体"/>
                <w:b w:val="0"/>
                <w:i w:val="0"/>
                <w:sz w:val="18"/>
              </w:rPr>
              <w:t>50%</w:t>
            </w:r>
          </w:p>
        </w:tc>
        <w:tc>
          <w:tcPr>
            <w:tcW w:type="dxa" w:w="2340"/>
            <w:vAlign w:val="center"/>
          </w:tcPr>
          <w:p>
            <w:pPr>
              <w:spacing w:after="40" w:before="40"/>
            </w:pPr>
            <w:r/>
            <w:r>
              <w:rPr>
                <w:rFonts w:ascii="Times New Roman" w:hAnsi="Times New Roman" w:eastAsia="宋体"/>
                <w:b w:val="0"/>
                <w:i w:val="0"/>
                <w:sz w:val="18"/>
              </w:rPr>
              <w:t>0.542</w:t>
            </w:r>
          </w:p>
        </w:tc>
        <w:tc>
          <w:tcPr>
            <w:tcW w:type="dxa" w:w="2340"/>
            <w:vAlign w:val="center"/>
          </w:tcPr>
          <w:p>
            <w:pPr>
              <w:spacing w:after="40" w:before="40"/>
            </w:pPr>
            <w:r/>
            <w:r>
              <w:rPr>
                <w:rFonts w:ascii="Times New Roman" w:hAnsi="Times New Roman" w:eastAsia="宋体"/>
                <w:b w:val="0"/>
                <w:i w:val="0"/>
                <w:sz w:val="18"/>
              </w:rPr>
              <w:t>**88%**</w:t>
            </w:r>
          </w:p>
        </w:tc>
        <w:tc>
          <w:tcPr>
            <w:tcW w:type="dxa" w:w="2340"/>
            <w:vAlign w:val="center"/>
          </w:tcPr>
          <w:p>
            <w:pPr>
              <w:spacing w:after="40" w:before="40"/>
            </w:pPr>
            <w:r/>
            <w:r>
              <w:rPr>
                <w:rFonts w:ascii="Times New Roman" w:hAnsi="Times New Roman" w:eastAsia="宋体"/>
                <w:b w:val="0"/>
                <w:i w:val="0"/>
                <w:sz w:val="18"/>
              </w:rPr>
              <w:t>0.571</w:t>
            </w:r>
          </w:p>
        </w:tc>
      </w:tr>
      <w:tr>
        <w:tc>
          <w:tcPr>
            <w:tcW w:type="dxa" w:w="2340"/>
            <w:vAlign w:val="center"/>
          </w:tcPr>
          <w:p>
            <w:pPr>
              <w:spacing w:after="40" w:before="40"/>
            </w:pPr>
            <w:r/>
            <w:r>
              <w:rPr>
                <w:rFonts w:ascii="Times New Roman" w:hAnsi="Times New Roman" w:eastAsia="宋体"/>
                <w:b w:val="0"/>
                <w:i w:val="0"/>
                <w:sz w:val="18"/>
              </w:rPr>
              <w:t>100%（主模型）</w:t>
            </w:r>
          </w:p>
        </w:tc>
        <w:tc>
          <w:tcPr>
            <w:tcW w:type="dxa" w:w="2340"/>
            <w:vAlign w:val="center"/>
          </w:tcPr>
          <w:p>
            <w:pPr>
              <w:spacing w:after="40" w:before="40"/>
            </w:pPr>
            <w:r/>
            <w:r>
              <w:rPr>
                <w:rFonts w:ascii="Times New Roman" w:hAnsi="Times New Roman" w:eastAsia="宋体"/>
                <w:b w:val="0"/>
                <w:i w:val="0"/>
                <w:sz w:val="18"/>
              </w:rPr>
              <w:t>0.615</w:t>
            </w:r>
          </w:p>
        </w:tc>
        <w:tc>
          <w:tcPr>
            <w:tcW w:type="dxa" w:w="2340"/>
            <w:vAlign w:val="center"/>
          </w:tcPr>
          <w:p>
            <w:pPr>
              <w:spacing w:after="40" w:before="40"/>
            </w:pPr>
            <w:r/>
            <w:r>
              <w:rPr>
                <w:rFonts w:ascii="Times New Roman" w:hAnsi="Times New Roman" w:eastAsia="宋体"/>
                <w:b w:val="0"/>
                <w:i w:val="0"/>
                <w:sz w:val="18"/>
              </w:rPr>
              <w:t>100%</w:t>
            </w:r>
          </w:p>
        </w:tc>
        <w:tc>
          <w:tcPr>
            <w:tcW w:type="dxa" w:w="2340"/>
            <w:vAlign w:val="center"/>
          </w:tcPr>
          <w:p>
            <w:pPr>
              <w:spacing w:after="40" w:before="40"/>
            </w:pPr>
            <w:r/>
            <w:r>
              <w:rPr>
                <w:rFonts w:ascii="Times New Roman" w:hAnsi="Times New Roman" w:eastAsia="宋体"/>
                <w:b w:val="0"/>
                <w:i w:val="0"/>
                <w:sz w:val="18"/>
              </w:rPr>
              <w:t>0.643</w:t>
            </w:r>
          </w:p>
        </w:tc>
      </w:tr>
    </w:tbl>
    <w:p>
      <w:pPr>
        <w:spacing w:before="0" w:after="40"/>
      </w:pPr>
    </w:p>
    <w:p>
      <w:pPr>
        <w:spacing w:before="0" w:after="120"/>
      </w:pPr>
      <w:r>
        <w:rPr>
          <w:rFonts w:ascii="Times New Roman" w:hAnsi="Times New Roman" w:eastAsia="宋体"/>
          <w:b w:val="0"/>
          <w:i w:val="0"/>
          <w:sz w:val="21"/>
        </w:rPr>
        <w:t>仅 50% 相位标签时，管线保留全监督性能的 88%（0.542 vs 0.615），且即使在 5–10% 标签下也已大幅超过最强全标注传统基线（0.206）；弱监督设计将稀缺的测量标注转化为接近全监督的检测质量。20% 档的标注子集稳定性在三种子间得到确认（逐折均值相位 PR-AUC 0.355/0.397/0.380，均值 0.377 ± 0.021；脚本 `l1_label_fraction.py`；输出 `results/label_fraction/`）。</w:t>
      </w:r>
    </w:p>
    <w:p>
      <w:pPr>
        <w:keepNext/>
        <w:spacing w:before="240" w:after="160"/>
      </w:pPr>
      <w:r>
        <w:rPr>
          <w:rFonts w:ascii="Times New Roman" w:hAnsi="Times New Roman" w:eastAsia="黑体"/>
          <w:b/>
          <w:i w:val="0"/>
          <w:color w:val="1F4D78"/>
          <w:sz w:val="24"/>
        </w:rPr>
        <w:t>C. 传统机器学习基线与交互消融</w:t>
      </w:r>
    </w:p>
    <w:p>
      <w:pPr>
        <w:jc w:val="center"/>
      </w:pPr>
      <w:r>
        <w:drawing>
          <wp:inline xmlns:a="http://schemas.openxmlformats.org/drawingml/2006/main" xmlns:pic="http://schemas.openxmlformats.org/drawingml/2006/picture">
            <wp:extent cx="5029200" cy="4050917"/>
            <wp:docPr id="3" name="Picture 3"/>
            <wp:cNvGraphicFramePr>
              <a:graphicFrameLocks noChangeAspect="1"/>
            </wp:cNvGraphicFramePr>
            <a:graphic>
              <a:graphicData uri="http://schemas.openxmlformats.org/drawingml/2006/picture">
                <pic:pic>
                  <pic:nvPicPr>
                    <pic:cNvPr id="0" name="fig3_pr_curves.png"/>
                    <pic:cNvPicPr/>
                  </pic:nvPicPr>
                  <pic:blipFill>
                    <a:blip r:embed="rId11"/>
                    <a:stretch>
                      <a:fillRect/>
                    </a:stretch>
                  </pic:blipFill>
                  <pic:spPr>
                    <a:xfrm>
                      <a:off x="0" y="0"/>
                      <a:ext cx="5029200" cy="4050917"/>
                    </a:xfrm>
                    <a:prstGeom prst="rect"/>
                  </pic:spPr>
                </pic:pic>
              </a:graphicData>
            </a:graphic>
          </wp:inline>
        </w:drawing>
      </w:r>
    </w:p>
    <w:p>
      <w:pPr>
        <w:jc w:val="center"/>
      </w:pPr>
      <w:r>
        <w:rPr>
          <w:rFonts w:ascii="Times New Roman" w:hAnsi="Times New Roman" w:eastAsia="宋体"/>
          <w:b w:val="0"/>
          <w:i/>
          <w:color w:val="555555"/>
          <w:sz w:val="18"/>
        </w:rPr>
        <w:t>图 3 开发集 PR 曲线（历史锁定主模型作对照）</w:t>
      </w:r>
    </w:p>
    <w:p>
      <w:pPr>
        <w:jc w:val="center"/>
      </w:pPr>
      <w:r>
        <w:drawing>
          <wp:inline xmlns:a="http://schemas.openxmlformats.org/drawingml/2006/main" xmlns:pic="http://schemas.openxmlformats.org/drawingml/2006/picture">
            <wp:extent cx="5029200" cy="2135108"/>
            <wp:docPr id="4" name="Picture 4"/>
            <wp:cNvGraphicFramePr>
              <a:graphicFrameLocks noChangeAspect="1"/>
            </wp:cNvGraphicFramePr>
            <a:graphic>
              <a:graphicData uri="http://schemas.openxmlformats.org/drawingml/2006/picture">
                <pic:pic>
                  <pic:nvPicPr>
                    <pic:cNvPr id="0" name="fig4_reliability.png"/>
                    <pic:cNvPicPr/>
                  </pic:nvPicPr>
                  <pic:blipFill>
                    <a:blip r:embed="rId12"/>
                    <a:stretch>
                      <a:fillRect/>
                    </a:stretch>
                  </pic:blipFill>
                  <pic:spPr>
                    <a:xfrm>
                      <a:off x="0" y="0"/>
                      <a:ext cx="5029200" cy="2135108"/>
                    </a:xfrm>
                    <a:prstGeom prst="rect"/>
                  </pic:spPr>
                </pic:pic>
              </a:graphicData>
            </a:graphic>
          </wp:inline>
        </w:drawing>
      </w:r>
    </w:p>
    <w:p>
      <w:pPr>
        <w:jc w:val="center"/>
      </w:pPr>
      <w:r>
        <w:rPr>
          <w:rFonts w:ascii="Times New Roman" w:hAnsi="Times New Roman" w:eastAsia="宋体"/>
          <w:b w:val="0"/>
          <w:i/>
          <w:color w:val="555555"/>
          <w:sz w:val="18"/>
        </w:rPr>
        <w:t>图 4 盲测可靠性图（历史锁定主模型）</w:t>
      </w:r>
    </w:p>
    <w:p>
      <w:pPr>
        <w:jc w:val="center"/>
      </w:pPr>
      <w:r>
        <w:drawing>
          <wp:inline xmlns:a="http://schemas.openxmlformats.org/drawingml/2006/main" xmlns:pic="http://schemas.openxmlformats.org/drawingml/2006/picture">
            <wp:extent cx="5029200" cy="2926337"/>
            <wp:docPr id="5" name="Picture 5"/>
            <wp:cNvGraphicFramePr>
              <a:graphicFrameLocks noChangeAspect="1"/>
            </wp:cNvGraphicFramePr>
            <a:graphic>
              <a:graphicData uri="http://schemas.openxmlformats.org/drawingml/2006/picture">
                <pic:pic>
                  <pic:nvPicPr>
                    <pic:cNvPr id="0" name="fig5_examples.png"/>
                    <pic:cNvPicPr/>
                  </pic:nvPicPr>
                  <pic:blipFill>
                    <a:blip r:embed="rId13"/>
                    <a:stretch>
                      <a:fillRect/>
                    </a:stretch>
                  </pic:blipFill>
                  <pic:spPr>
                    <a:xfrm>
                      <a:off x="0" y="0"/>
                      <a:ext cx="5029200" cy="2926337"/>
                    </a:xfrm>
                    <a:prstGeom prst="rect"/>
                  </pic:spPr>
                </pic:pic>
              </a:graphicData>
            </a:graphic>
          </wp:inline>
        </w:drawing>
      </w:r>
    </w:p>
    <w:p>
      <w:pPr>
        <w:jc w:val="center"/>
      </w:pPr>
      <w:r>
        <w:rPr>
          <w:rFonts w:ascii="Times New Roman" w:hAnsi="Times New Roman" w:eastAsia="宋体"/>
          <w:b w:val="0"/>
          <w:i/>
          <w:color w:val="555555"/>
          <w:sz w:val="18"/>
        </w:rPr>
        <w:t>图 5 盲测正/负例示例与注意力权重（历史锁定主模型）</w:t>
      </w:r>
    </w:p>
    <w:p>
      <w:pPr>
        <w:spacing w:before="0" w:after="120"/>
      </w:pPr>
      <w:r>
        <w:rPr>
          <w:rFonts w:ascii="Times New Roman" w:hAnsi="Times New Roman" w:eastAsia="宋体"/>
          <w:b/>
          <w:i w:val="0"/>
          <w:sz w:val="21"/>
        </w:rPr>
        <w:t>传统机器学习基线</w:t>
      </w:r>
      <w:r>
        <w:rPr>
          <w:rFonts w:ascii="Times New Roman" w:hAnsi="Times New Roman" w:eastAsia="宋体"/>
          <w:b w:val="0"/>
          <w:i w:val="0"/>
          <w:sz w:val="21"/>
        </w:rPr>
        <w:t>：为建立参照点，传统 ML 分类器在同一混合 K=8 特征缓存（每窗口 58 维物理特征）上以相同 5 折分割（seed 42）与折叠指纹评估。三种特征聚合与逻辑回归（LR）、随机森林（RF）、LightGBM（LGBM）组合，逐折网格搜索（结果记录于 `results/baseline_full_comparison.json`）：</w:t>
      </w:r>
    </w:p>
    <w:p>
      <w:pPr>
        <w:spacing w:before="160" w:after="40"/>
      </w:pPr>
      <w:r>
        <w:rPr>
          <w:rFonts w:ascii="Times New Roman" w:hAnsi="Times New Roman" w:eastAsia="宋体"/>
          <w:b w:val="0"/>
          <w:i w:val="0"/>
          <w:sz w:val="18"/>
        </w:rPr>
        <w:t>表 II-B  传统机器学习基线（相位 PR-AUC，逐折均值，seed 42）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fill="F4F6F9"/>
          </w:tcPr>
          <w:p>
            <w:pPr>
              <w:spacing w:after="40" w:before="40"/>
            </w:pPr>
            <w:r/>
            <w:r>
              <w:rPr>
                <w:rFonts w:ascii="Times New Roman" w:hAnsi="Times New Roman" w:eastAsia="宋体"/>
                <w:b/>
                <w:i w:val="0"/>
                <w:sz w:val="18"/>
              </w:rPr>
              <w:t>特征集</w:t>
            </w:r>
          </w:p>
        </w:tc>
        <w:tc>
          <w:tcPr>
            <w:tcW w:type="dxa" w:w="2340"/>
            <w:vAlign w:val="center"/>
            <w:shd w:val="clear" w:fill="F4F6F9"/>
          </w:tcPr>
          <w:p>
            <w:pPr>
              <w:spacing w:after="40" w:before="40"/>
            </w:pPr>
            <w:r/>
            <w:r>
              <w:rPr>
                <w:rFonts w:ascii="Times New Roman" w:hAnsi="Times New Roman" w:eastAsia="宋体"/>
                <w:b/>
                <w:i w:val="0"/>
                <w:sz w:val="18"/>
              </w:rPr>
              <w:t>LR</w:t>
            </w:r>
          </w:p>
        </w:tc>
        <w:tc>
          <w:tcPr>
            <w:tcW w:type="dxa" w:w="2340"/>
            <w:vAlign w:val="center"/>
            <w:shd w:val="clear" w:fill="F4F6F9"/>
          </w:tcPr>
          <w:p>
            <w:pPr>
              <w:spacing w:after="40" w:before="40"/>
            </w:pPr>
            <w:r/>
            <w:r>
              <w:rPr>
                <w:rFonts w:ascii="Times New Roman" w:hAnsi="Times New Roman" w:eastAsia="宋体"/>
                <w:b/>
                <w:i w:val="0"/>
                <w:sz w:val="18"/>
              </w:rPr>
              <w:t>RF</w:t>
            </w:r>
          </w:p>
        </w:tc>
        <w:tc>
          <w:tcPr>
            <w:tcW w:type="dxa" w:w="2340"/>
            <w:vAlign w:val="center"/>
            <w:shd w:val="clear" w:fill="F4F6F9"/>
          </w:tcPr>
          <w:p>
            <w:pPr>
              <w:spacing w:after="40" w:before="40"/>
            </w:pPr>
            <w:r/>
            <w:r>
              <w:rPr>
                <w:rFonts w:ascii="Times New Roman" w:hAnsi="Times New Roman" w:eastAsia="宋体"/>
                <w:b/>
                <w:i w:val="0"/>
                <w:sz w:val="18"/>
              </w:rPr>
              <w:t>LGBM</w:t>
            </w:r>
          </w:p>
        </w:tc>
      </w:tr>
      <w:tr>
        <w:tc>
          <w:tcPr>
            <w:tcW w:type="dxa" w:w="2340"/>
            <w:vAlign w:val="center"/>
          </w:tcPr>
          <w:p>
            <w:pPr>
              <w:spacing w:after="40" w:before="40"/>
            </w:pPr>
            <w:r/>
            <w:r>
              <w:rPr>
                <w:rFonts w:ascii="Times New Roman" w:hAnsi="Times New Roman" w:eastAsia="宋体"/>
                <w:b w:val="0"/>
                <w:i w:val="0"/>
                <w:sz w:val="18"/>
              </w:rPr>
              <w:t>116 维（均值+标准差聚合）</w:t>
            </w:r>
          </w:p>
        </w:tc>
        <w:tc>
          <w:tcPr>
            <w:tcW w:type="dxa" w:w="2340"/>
            <w:vAlign w:val="center"/>
          </w:tcPr>
          <w:p>
            <w:pPr>
              <w:spacing w:after="40" w:before="40"/>
            </w:pPr>
            <w:r/>
            <w:r>
              <w:rPr>
                <w:rFonts w:ascii="Times New Roman" w:hAnsi="Times New Roman" w:eastAsia="宋体"/>
                <w:b w:val="0"/>
                <w:i w:val="0"/>
                <w:sz w:val="18"/>
              </w:rPr>
              <w:t>0.157</w:t>
            </w:r>
          </w:p>
        </w:tc>
        <w:tc>
          <w:tcPr>
            <w:tcW w:type="dxa" w:w="2340"/>
            <w:vAlign w:val="center"/>
          </w:tcPr>
          <w:p>
            <w:pPr>
              <w:spacing w:after="40" w:before="40"/>
            </w:pPr>
            <w:r/>
            <w:r>
              <w:rPr>
                <w:rFonts w:ascii="Times New Roman" w:hAnsi="Times New Roman" w:eastAsia="宋体"/>
                <w:b w:val="0"/>
                <w:i w:val="0"/>
                <w:sz w:val="18"/>
              </w:rPr>
              <w:t>0.155</w:t>
            </w:r>
          </w:p>
        </w:tc>
        <w:tc>
          <w:tcPr>
            <w:tcW w:type="dxa" w:w="2340"/>
            <w:vAlign w:val="center"/>
          </w:tcPr>
          <w:p>
            <w:pPr>
              <w:spacing w:after="40" w:before="40"/>
            </w:pPr>
            <w:r/>
            <w:r>
              <w:rPr>
                <w:rFonts w:ascii="Times New Roman" w:hAnsi="Times New Roman" w:eastAsia="宋体"/>
                <w:b w:val="0"/>
                <w:i w:val="0"/>
                <w:sz w:val="18"/>
              </w:rPr>
              <w:t>0.154</w:t>
            </w:r>
          </w:p>
        </w:tc>
      </w:tr>
      <w:tr>
        <w:tc>
          <w:tcPr>
            <w:tcW w:type="dxa" w:w="2340"/>
            <w:vAlign w:val="center"/>
          </w:tcPr>
          <w:p>
            <w:pPr>
              <w:spacing w:after="40" w:before="40"/>
            </w:pPr>
            <w:r/>
            <w:r>
              <w:rPr>
                <w:rFonts w:ascii="Times New Roman" w:hAnsi="Times New Roman" w:eastAsia="宋体"/>
                <w:b w:val="0"/>
                <w:i w:val="0"/>
                <w:sz w:val="18"/>
              </w:rPr>
              <w:t>406 维（七统计量）</w:t>
            </w:r>
          </w:p>
        </w:tc>
        <w:tc>
          <w:tcPr>
            <w:tcW w:type="dxa" w:w="2340"/>
            <w:vAlign w:val="center"/>
          </w:tcPr>
          <w:p>
            <w:pPr>
              <w:spacing w:after="40" w:before="40"/>
            </w:pPr>
            <w:r/>
            <w:r>
              <w:rPr>
                <w:rFonts w:ascii="Times New Roman" w:hAnsi="Times New Roman" w:eastAsia="宋体"/>
                <w:b w:val="0"/>
                <w:i w:val="0"/>
                <w:sz w:val="18"/>
              </w:rPr>
              <w:t>0.137</w:t>
            </w:r>
          </w:p>
        </w:tc>
        <w:tc>
          <w:tcPr>
            <w:tcW w:type="dxa" w:w="2340"/>
            <w:vAlign w:val="center"/>
          </w:tcPr>
          <w:p>
            <w:pPr>
              <w:spacing w:after="40" w:before="40"/>
            </w:pPr>
            <w:r/>
            <w:r>
              <w:rPr>
                <w:rFonts w:ascii="Times New Roman" w:hAnsi="Times New Roman" w:eastAsia="宋体"/>
                <w:b w:val="0"/>
                <w:i w:val="0"/>
                <w:sz w:val="18"/>
              </w:rPr>
              <w:t>0.174</w:t>
            </w:r>
          </w:p>
        </w:tc>
        <w:tc>
          <w:tcPr>
            <w:tcW w:type="dxa" w:w="2340"/>
            <w:vAlign w:val="center"/>
          </w:tcPr>
          <w:p>
            <w:pPr>
              <w:spacing w:after="40" w:before="40"/>
            </w:pPr>
            <w:r/>
            <w:r>
              <w:rPr>
                <w:rFonts w:ascii="Times New Roman" w:hAnsi="Times New Roman" w:eastAsia="宋体"/>
                <w:b w:val="0"/>
                <w:i w:val="0"/>
                <w:sz w:val="18"/>
              </w:rPr>
              <w:t>0.196</w:t>
            </w:r>
          </w:p>
        </w:tc>
      </w:tr>
      <w:tr>
        <w:tc>
          <w:tcPr>
            <w:tcW w:type="dxa" w:w="2340"/>
            <w:vAlign w:val="center"/>
          </w:tcPr>
          <w:p>
            <w:pPr>
              <w:spacing w:after="40" w:before="40"/>
            </w:pPr>
            <w:r/>
            <w:r>
              <w:rPr>
                <w:rFonts w:ascii="Times New Roman" w:hAnsi="Times New Roman" w:eastAsia="宋体"/>
                <w:b w:val="0"/>
                <w:i w:val="0"/>
                <w:sz w:val="18"/>
              </w:rPr>
              <w:t>464 维（窗口展平）</w:t>
            </w:r>
          </w:p>
        </w:tc>
        <w:tc>
          <w:tcPr>
            <w:tcW w:type="dxa" w:w="2340"/>
            <w:vAlign w:val="center"/>
          </w:tcPr>
          <w:p>
            <w:pPr>
              <w:spacing w:after="40" w:before="40"/>
            </w:pPr>
            <w:r/>
            <w:r>
              <w:rPr>
                <w:rFonts w:ascii="Times New Roman" w:hAnsi="Times New Roman" w:eastAsia="宋体"/>
                <w:b w:val="0"/>
                <w:i w:val="0"/>
                <w:sz w:val="18"/>
              </w:rPr>
              <w:t>0.107</w:t>
            </w:r>
          </w:p>
        </w:tc>
        <w:tc>
          <w:tcPr>
            <w:tcW w:type="dxa" w:w="2340"/>
            <w:vAlign w:val="center"/>
          </w:tcPr>
          <w:p>
            <w:pPr>
              <w:spacing w:after="40" w:before="40"/>
            </w:pPr>
            <w:r/>
            <w:r>
              <w:rPr>
                <w:rFonts w:ascii="Times New Roman" w:hAnsi="Times New Roman" w:eastAsia="宋体"/>
                <w:b w:val="0"/>
                <w:i w:val="0"/>
                <w:sz w:val="18"/>
              </w:rPr>
              <w:t>0.188</w:t>
            </w:r>
          </w:p>
        </w:tc>
        <w:tc>
          <w:tcPr>
            <w:tcW w:type="dxa" w:w="2340"/>
            <w:vAlign w:val="center"/>
          </w:tcPr>
          <w:p>
            <w:pPr>
              <w:spacing w:after="40" w:before="40"/>
            </w:pPr>
            <w:r/>
            <w:r>
              <w:rPr>
                <w:rFonts w:ascii="Times New Roman" w:hAnsi="Times New Roman" w:eastAsia="宋体"/>
                <w:b w:val="0"/>
                <w:i w:val="0"/>
                <w:sz w:val="18"/>
              </w:rPr>
              <w:t>**0.206**</w:t>
            </w:r>
          </w:p>
        </w:tc>
      </w:tr>
    </w:tbl>
    <w:p>
      <w:pPr>
        <w:spacing w:before="0" w:after="40"/>
      </w:pPr>
    </w:p>
    <w:p>
      <w:pPr>
        <w:spacing w:before="0" w:after="120"/>
      </w:pPr>
      <w:r>
        <w:rPr>
          <w:rFonts w:ascii="Times New Roman" w:hAnsi="Times New Roman" w:eastAsia="宋体"/>
          <w:b w:val="0"/>
          <w:i w:val="0"/>
          <w:sz w:val="21"/>
        </w:rPr>
        <w:t>相位 PR-AUC（逐折均值）。最强传统基线为展平特征 + LightGBM 0.206；E4 主模型（0.615）在相同折与特征缓存下绝对提升 +0.409（pooled-OOF 口径 +0.335；第六节 A）。</w:t>
      </w:r>
    </w:p>
    <w:p>
      <w:pPr>
        <w:spacing w:before="0" w:after="120"/>
      </w:pPr>
      <w:r>
        <w:rPr>
          <w:rFonts w:ascii="Times New Roman" w:hAnsi="Times New Roman" w:eastAsia="宋体"/>
          <w:b/>
          <w:i w:val="0"/>
          <w:sz w:val="21"/>
        </w:rPr>
        <w:t>相位交互消融与主模型选择（E1–E6）</w:t>
      </w:r>
      <w:r>
        <w:rPr>
          <w:rFonts w:ascii="Times New Roman" w:hAnsi="Times New Roman" w:eastAsia="宋体"/>
          <w:b w:val="0"/>
          <w:i w:val="0"/>
          <w:sz w:val="21"/>
        </w:rPr>
        <w:t>：六个变体共享同一骨干（纯 CNN 编码器 + 注意力 MIL），仅交互机制或损失不同（第四节 C）。表 III 报告 seed-42 逐折均值。</w:t>
      </w:r>
    </w:p>
    <w:p>
      <w:pPr>
        <w:spacing w:before="160" w:after="40"/>
      </w:pPr>
      <w:r>
        <w:rPr>
          <w:rFonts w:ascii="Times New Roman" w:hAnsi="Times New Roman" w:eastAsia="宋体"/>
          <w:b w:val="0"/>
          <w:i w:val="0"/>
          <w:sz w:val="18"/>
        </w:rPr>
        <w:t>表 III  相位交互消融（E1–E6，seed 42，逐折均值 ± 标准差）</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val="clear" w:fill="F4F6F9"/>
          </w:tcPr>
          <w:p>
            <w:pPr>
              <w:spacing w:after="40" w:before="40"/>
            </w:pPr>
            <w:r/>
            <w:r>
              <w:rPr>
                <w:rFonts w:ascii="Times New Roman" w:hAnsi="Times New Roman" w:eastAsia="宋体"/>
                <w:b/>
                <w:i w:val="0"/>
                <w:sz w:val="18"/>
              </w:rPr>
              <w:t>变体</w:t>
            </w:r>
          </w:p>
        </w:tc>
        <w:tc>
          <w:tcPr>
            <w:tcW w:type="dxa" w:w="1170"/>
            <w:vAlign w:val="center"/>
            <w:shd w:val="clear" w:fill="F4F6F9"/>
          </w:tcPr>
          <w:p>
            <w:pPr>
              <w:spacing w:after="40" w:before="40"/>
            </w:pPr>
            <w:r/>
            <w:r>
              <w:rPr>
                <w:rFonts w:ascii="Times New Roman" w:hAnsi="Times New Roman" w:eastAsia="宋体"/>
                <w:b/>
                <w:i w:val="0"/>
                <w:sz w:val="18"/>
              </w:rPr>
              <w:t>交互</w:t>
            </w:r>
          </w:p>
        </w:tc>
        <w:tc>
          <w:tcPr>
            <w:tcW w:type="dxa" w:w="1170"/>
            <w:vAlign w:val="center"/>
            <w:shd w:val="clear" w:fill="F4F6F9"/>
          </w:tcPr>
          <w:p>
            <w:pPr>
              <w:spacing w:after="40" w:before="40"/>
            </w:pPr>
            <w:r/>
            <w:r>
              <w:rPr>
                <w:rFonts w:ascii="Times New Roman" w:hAnsi="Times New Roman" w:eastAsia="宋体"/>
                <w:b/>
                <w:i w:val="0"/>
                <w:sz w:val="18"/>
              </w:rPr>
              <w:t>相位 PR-AUC</w:t>
            </w:r>
          </w:p>
        </w:tc>
        <w:tc>
          <w:tcPr>
            <w:tcW w:type="dxa" w:w="1170"/>
            <w:vAlign w:val="center"/>
            <w:shd w:val="clear" w:fill="F4F6F9"/>
          </w:tcPr>
          <w:p>
            <w:pPr>
              <w:spacing w:after="40" w:before="40"/>
            </w:pPr>
            <w:r/>
            <w:r>
              <w:rPr>
                <w:rFonts w:ascii="Times New Roman" w:hAnsi="Times New Roman" w:eastAsia="宋体"/>
                <w:b/>
                <w:i w:val="0"/>
                <w:sz w:val="18"/>
              </w:rPr>
              <w:t>测量 PR-AUC</w:t>
            </w:r>
          </w:p>
        </w:tc>
        <w:tc>
          <w:tcPr>
            <w:tcW w:type="dxa" w:w="1170"/>
            <w:vAlign w:val="center"/>
            <w:shd w:val="clear" w:fill="F4F6F9"/>
          </w:tcPr>
          <w:p>
            <w:pPr>
              <w:spacing w:after="40" w:before="40"/>
            </w:pPr>
            <w:r/>
            <w:r>
              <w:rPr>
                <w:rFonts w:ascii="Times New Roman" w:hAnsi="Times New Roman" w:eastAsia="宋体"/>
                <w:b/>
                <w:i w:val="0"/>
                <w:sz w:val="18"/>
              </w:rPr>
              <w:t>相位 ROC</w:t>
            </w:r>
          </w:p>
        </w:tc>
        <w:tc>
          <w:tcPr>
            <w:tcW w:type="dxa" w:w="1170"/>
            <w:vAlign w:val="center"/>
            <w:shd w:val="clear" w:fill="F4F6F9"/>
          </w:tcPr>
          <w:p>
            <w:pPr>
              <w:spacing w:after="40" w:before="40"/>
            </w:pPr>
            <w:r/>
            <w:r>
              <w:rPr>
                <w:rFonts w:ascii="Times New Roman" w:hAnsi="Times New Roman" w:eastAsia="宋体"/>
                <w:b/>
                <w:i w:val="0"/>
                <w:sz w:val="18"/>
              </w:rPr>
              <w:t>测量 ROC</w:t>
            </w:r>
          </w:p>
        </w:tc>
        <w:tc>
          <w:tcPr>
            <w:tcW w:type="dxa" w:w="1170"/>
            <w:vAlign w:val="center"/>
            <w:shd w:val="clear" w:fill="F4F6F9"/>
          </w:tcPr>
          <w:p>
            <w:pPr>
              <w:spacing w:after="40" w:before="40"/>
            </w:pPr>
            <w:r/>
            <w:r>
              <w:rPr>
                <w:rFonts w:ascii="Times New Roman" w:hAnsi="Times New Roman" w:eastAsia="宋体"/>
                <w:b/>
                <w:i w:val="0"/>
                <w:sz w:val="18"/>
              </w:rPr>
              <w:t>相位 MCC</w:t>
            </w:r>
          </w:p>
        </w:tc>
        <w:tc>
          <w:tcPr>
            <w:tcW w:type="dxa" w:w="1170"/>
            <w:vAlign w:val="center"/>
            <w:shd w:val="clear" w:fill="F4F6F9"/>
          </w:tcPr>
          <w:p>
            <w:pPr>
              <w:spacing w:after="40" w:before="40"/>
            </w:pPr>
            <w:r/>
            <w:r>
              <w:rPr>
                <w:rFonts w:ascii="Times New Roman" w:hAnsi="Times New Roman" w:eastAsia="宋体"/>
                <w:b/>
                <w:i w:val="0"/>
                <w:sz w:val="18"/>
              </w:rPr>
              <w:t>测量 MCC</w:t>
            </w:r>
          </w:p>
        </w:tc>
      </w:tr>
      <w:tr>
        <w:tc>
          <w:tcPr>
            <w:tcW w:type="dxa" w:w="1170"/>
            <w:vAlign w:val="center"/>
          </w:tcPr>
          <w:p>
            <w:pPr>
              <w:spacing w:after="40" w:before="40"/>
            </w:pPr>
            <w:r/>
            <w:r>
              <w:rPr>
                <w:rFonts w:ascii="Times New Roman" w:hAnsi="Times New Roman" w:eastAsia="宋体"/>
                <w:b w:val="0"/>
                <w:i w:val="0"/>
                <w:sz w:val="18"/>
              </w:rPr>
              <w:t>E1</w:t>
            </w:r>
          </w:p>
        </w:tc>
        <w:tc>
          <w:tcPr>
            <w:tcW w:type="dxa" w:w="1170"/>
            <w:vAlign w:val="center"/>
          </w:tcPr>
          <w:p>
            <w:pPr>
              <w:spacing w:after="40" w:before="40"/>
            </w:pPr>
            <w:r/>
            <w:r>
              <w:rPr>
                <w:rFonts w:ascii="Times New Roman" w:hAnsi="Times New Roman" w:eastAsia="宋体"/>
                <w:b w:val="0"/>
                <w:i w:val="0"/>
                <w:sz w:val="18"/>
              </w:rPr>
              <w:t>无</w:t>
            </w:r>
          </w:p>
        </w:tc>
        <w:tc>
          <w:tcPr>
            <w:tcW w:type="dxa" w:w="1170"/>
            <w:vAlign w:val="center"/>
          </w:tcPr>
          <w:p>
            <w:pPr>
              <w:spacing w:after="40" w:before="40"/>
            </w:pPr>
            <w:r/>
            <w:r>
              <w:rPr>
                <w:rFonts w:ascii="Times New Roman" w:hAnsi="Times New Roman" w:eastAsia="宋体"/>
                <w:b w:val="0"/>
                <w:i w:val="0"/>
                <w:sz w:val="18"/>
              </w:rPr>
              <w:t>0.483 ± 0.060</w:t>
            </w:r>
          </w:p>
        </w:tc>
        <w:tc>
          <w:tcPr>
            <w:tcW w:type="dxa" w:w="1170"/>
            <w:vAlign w:val="center"/>
          </w:tcPr>
          <w:p>
            <w:pPr>
              <w:spacing w:after="40" w:before="40"/>
            </w:pPr>
            <w:r/>
            <w:r>
              <w:rPr>
                <w:rFonts w:ascii="Times New Roman" w:hAnsi="Times New Roman" w:eastAsia="宋体"/>
                <w:b w:val="0"/>
                <w:i w:val="0"/>
                <w:sz w:val="18"/>
              </w:rPr>
              <w:t>0.562 ± 0.053</w:t>
            </w:r>
          </w:p>
        </w:tc>
        <w:tc>
          <w:tcPr>
            <w:tcW w:type="dxa" w:w="1170"/>
            <w:vAlign w:val="center"/>
          </w:tcPr>
          <w:p>
            <w:pPr>
              <w:spacing w:after="40" w:before="40"/>
            </w:pPr>
            <w:r/>
            <w:r>
              <w:rPr>
                <w:rFonts w:ascii="Times New Roman" w:hAnsi="Times New Roman" w:eastAsia="宋体"/>
                <w:b w:val="0"/>
                <w:i w:val="0"/>
                <w:sz w:val="18"/>
              </w:rPr>
              <w:t>0.925</w:t>
            </w:r>
          </w:p>
        </w:tc>
        <w:tc>
          <w:tcPr>
            <w:tcW w:type="dxa" w:w="1170"/>
            <w:vAlign w:val="center"/>
          </w:tcPr>
          <w:p>
            <w:pPr>
              <w:spacing w:after="40" w:before="40"/>
            </w:pPr>
            <w:r/>
            <w:r>
              <w:rPr>
                <w:rFonts w:ascii="Times New Roman" w:hAnsi="Times New Roman" w:eastAsia="宋体"/>
                <w:b w:val="0"/>
                <w:i w:val="0"/>
                <w:sz w:val="18"/>
              </w:rPr>
              <w:t>0.935</w:t>
            </w:r>
          </w:p>
        </w:tc>
        <w:tc>
          <w:tcPr>
            <w:tcW w:type="dxa" w:w="1170"/>
            <w:vAlign w:val="center"/>
          </w:tcPr>
          <w:p>
            <w:pPr>
              <w:spacing w:after="40" w:before="40"/>
            </w:pPr>
            <w:r/>
            <w:r>
              <w:rPr>
                <w:rFonts w:ascii="Times New Roman" w:hAnsi="Times New Roman" w:eastAsia="宋体"/>
                <w:b w:val="0"/>
                <w:i w:val="0"/>
                <w:sz w:val="18"/>
              </w:rPr>
              <w:t>0.434</w:t>
            </w:r>
          </w:p>
        </w:tc>
        <w:tc>
          <w:tcPr>
            <w:tcW w:type="dxa" w:w="1170"/>
            <w:vAlign w:val="center"/>
          </w:tcPr>
          <w:p>
            <w:pPr>
              <w:spacing w:after="40" w:before="40"/>
            </w:pPr>
            <w:r/>
            <w:r>
              <w:rPr>
                <w:rFonts w:ascii="Times New Roman" w:hAnsi="Times New Roman" w:eastAsia="宋体"/>
                <w:b w:val="0"/>
                <w:i w:val="0"/>
                <w:sz w:val="18"/>
              </w:rPr>
              <w:t>0.465</w:t>
            </w:r>
          </w:p>
        </w:tc>
      </w:tr>
      <w:tr>
        <w:tc>
          <w:tcPr>
            <w:tcW w:type="dxa" w:w="1170"/>
            <w:vAlign w:val="center"/>
          </w:tcPr>
          <w:p>
            <w:pPr>
              <w:spacing w:after="40" w:before="40"/>
            </w:pPr>
            <w:r/>
            <w:r>
              <w:rPr>
                <w:rFonts w:ascii="Times New Roman" w:hAnsi="Times New Roman" w:eastAsia="宋体"/>
                <w:b w:val="0"/>
                <w:i w:val="0"/>
                <w:sz w:val="18"/>
              </w:rPr>
              <w:t>E2</w:t>
            </w:r>
          </w:p>
        </w:tc>
        <w:tc>
          <w:tcPr>
            <w:tcW w:type="dxa" w:w="1170"/>
            <w:vAlign w:val="center"/>
          </w:tcPr>
          <w:p>
            <w:pPr>
              <w:spacing w:after="40" w:before="40"/>
            </w:pPr>
            <w:r/>
            <w:r>
              <w:rPr>
                <w:rFonts w:ascii="Times New Roman" w:hAnsi="Times New Roman" w:eastAsia="宋体"/>
                <w:b w:val="0"/>
                <w:i w:val="0"/>
                <w:sz w:val="18"/>
              </w:rPr>
              <w:t>均值共享得分</w:t>
            </w:r>
          </w:p>
        </w:tc>
        <w:tc>
          <w:tcPr>
            <w:tcW w:type="dxa" w:w="1170"/>
            <w:vAlign w:val="center"/>
          </w:tcPr>
          <w:p>
            <w:pPr>
              <w:spacing w:after="40" w:before="40"/>
            </w:pPr>
            <w:r/>
            <w:r>
              <w:rPr>
                <w:rFonts w:ascii="Times New Roman" w:hAnsi="Times New Roman" w:eastAsia="宋体"/>
                <w:b w:val="0"/>
                <w:i w:val="0"/>
                <w:sz w:val="18"/>
              </w:rPr>
              <w:t>0.604 ± 0.042</w:t>
            </w:r>
          </w:p>
        </w:tc>
        <w:tc>
          <w:tcPr>
            <w:tcW w:type="dxa" w:w="1170"/>
            <w:vAlign w:val="center"/>
          </w:tcPr>
          <w:p>
            <w:pPr>
              <w:spacing w:after="40" w:before="40"/>
            </w:pPr>
            <w:r/>
            <w:r>
              <w:rPr>
                <w:rFonts w:ascii="Times New Roman" w:hAnsi="Times New Roman" w:eastAsia="宋体"/>
                <w:b w:val="0"/>
                <w:i w:val="0"/>
                <w:sz w:val="18"/>
              </w:rPr>
              <w:t>0.627 ± 0.053</w:t>
            </w:r>
          </w:p>
        </w:tc>
        <w:tc>
          <w:tcPr>
            <w:tcW w:type="dxa" w:w="1170"/>
            <w:vAlign w:val="center"/>
          </w:tcPr>
          <w:p>
            <w:pPr>
              <w:spacing w:after="40" w:before="40"/>
            </w:pPr>
            <w:r/>
            <w:r>
              <w:rPr>
                <w:rFonts w:ascii="Times New Roman" w:hAnsi="Times New Roman" w:eastAsia="宋体"/>
                <w:b w:val="0"/>
                <w:i w:val="0"/>
                <w:sz w:val="18"/>
              </w:rPr>
              <w:t>0.942</w:t>
            </w:r>
          </w:p>
        </w:tc>
        <w:tc>
          <w:tcPr>
            <w:tcW w:type="dxa" w:w="1170"/>
            <w:vAlign w:val="center"/>
          </w:tcPr>
          <w:p>
            <w:pPr>
              <w:spacing w:after="40" w:before="40"/>
            </w:pPr>
            <w:r/>
            <w:r>
              <w:rPr>
                <w:rFonts w:ascii="Times New Roman" w:hAnsi="Times New Roman" w:eastAsia="宋体"/>
                <w:b w:val="0"/>
                <w:i w:val="0"/>
                <w:sz w:val="18"/>
              </w:rPr>
              <w:t>0.940</w:t>
            </w:r>
          </w:p>
        </w:tc>
        <w:tc>
          <w:tcPr>
            <w:tcW w:type="dxa" w:w="1170"/>
            <w:vAlign w:val="center"/>
          </w:tcPr>
          <w:p>
            <w:pPr>
              <w:spacing w:after="40" w:before="40"/>
            </w:pPr>
            <w:r/>
            <w:r>
              <w:rPr>
                <w:rFonts w:ascii="Times New Roman" w:hAnsi="Times New Roman" w:eastAsia="宋体"/>
                <w:b w:val="0"/>
                <w:i w:val="0"/>
                <w:sz w:val="18"/>
              </w:rPr>
              <w:t>0.469</w:t>
            </w:r>
          </w:p>
        </w:tc>
        <w:tc>
          <w:tcPr>
            <w:tcW w:type="dxa" w:w="1170"/>
            <w:vAlign w:val="center"/>
          </w:tcPr>
          <w:p>
            <w:pPr>
              <w:spacing w:after="40" w:before="40"/>
            </w:pPr>
            <w:r/>
            <w:r>
              <w:rPr>
                <w:rFonts w:ascii="Times New Roman" w:hAnsi="Times New Roman" w:eastAsia="宋体"/>
                <w:b w:val="0"/>
                <w:i w:val="0"/>
                <w:sz w:val="18"/>
              </w:rPr>
              <w:t>0.469</w:t>
            </w:r>
          </w:p>
        </w:tc>
      </w:tr>
      <w:tr>
        <w:tc>
          <w:tcPr>
            <w:tcW w:type="dxa" w:w="1170"/>
            <w:vAlign w:val="center"/>
          </w:tcPr>
          <w:p>
            <w:pPr>
              <w:spacing w:after="40" w:before="40"/>
            </w:pPr>
            <w:r/>
            <w:r>
              <w:rPr>
                <w:rFonts w:ascii="Times New Roman" w:hAnsi="Times New Roman" w:eastAsia="宋体"/>
                <w:b w:val="0"/>
                <w:i w:val="0"/>
                <w:sz w:val="18"/>
              </w:rPr>
              <w:t>E3</w:t>
            </w:r>
          </w:p>
        </w:tc>
        <w:tc>
          <w:tcPr>
            <w:tcW w:type="dxa" w:w="1170"/>
            <w:vAlign w:val="center"/>
          </w:tcPr>
          <w:p>
            <w:pPr>
              <w:spacing w:after="40" w:before="40"/>
            </w:pPr>
            <w:r/>
            <w:r>
              <w:rPr>
                <w:rFonts w:ascii="Times New Roman" w:hAnsi="Times New Roman" w:eastAsia="宋体"/>
                <w:b w:val="0"/>
                <w:i w:val="0"/>
                <w:sz w:val="18"/>
              </w:rPr>
              <w:t>最大聚合</w:t>
            </w:r>
          </w:p>
        </w:tc>
        <w:tc>
          <w:tcPr>
            <w:tcW w:type="dxa" w:w="1170"/>
            <w:vAlign w:val="center"/>
          </w:tcPr>
          <w:p>
            <w:pPr>
              <w:spacing w:after="40" w:before="40"/>
            </w:pPr>
            <w:r/>
            <w:r>
              <w:rPr>
                <w:rFonts w:ascii="Times New Roman" w:hAnsi="Times New Roman" w:eastAsia="宋体"/>
                <w:b w:val="0"/>
                <w:i w:val="0"/>
                <w:sz w:val="18"/>
              </w:rPr>
              <w:t>0.620 ± 0.034</w:t>
            </w:r>
          </w:p>
        </w:tc>
        <w:tc>
          <w:tcPr>
            <w:tcW w:type="dxa" w:w="1170"/>
            <w:vAlign w:val="center"/>
          </w:tcPr>
          <w:p>
            <w:pPr>
              <w:spacing w:after="40" w:before="40"/>
            </w:pPr>
            <w:r/>
            <w:r>
              <w:rPr>
                <w:rFonts w:ascii="Times New Roman" w:hAnsi="Times New Roman" w:eastAsia="宋体"/>
                <w:b w:val="0"/>
                <w:i w:val="0"/>
                <w:sz w:val="18"/>
              </w:rPr>
              <w:t>0.645 ± 0.044</w:t>
            </w:r>
          </w:p>
        </w:tc>
        <w:tc>
          <w:tcPr>
            <w:tcW w:type="dxa" w:w="1170"/>
            <w:vAlign w:val="center"/>
          </w:tcPr>
          <w:p>
            <w:pPr>
              <w:spacing w:after="40" w:before="40"/>
            </w:pPr>
            <w:r/>
            <w:r>
              <w:rPr>
                <w:rFonts w:ascii="Times New Roman" w:hAnsi="Times New Roman" w:eastAsia="宋体"/>
                <w:b w:val="0"/>
                <w:i w:val="0"/>
                <w:sz w:val="18"/>
              </w:rPr>
              <w:t>0.944</w:t>
            </w:r>
          </w:p>
        </w:tc>
        <w:tc>
          <w:tcPr>
            <w:tcW w:type="dxa" w:w="1170"/>
            <w:vAlign w:val="center"/>
          </w:tcPr>
          <w:p>
            <w:pPr>
              <w:spacing w:after="40" w:before="40"/>
            </w:pPr>
            <w:r/>
            <w:r>
              <w:rPr>
                <w:rFonts w:ascii="Times New Roman" w:hAnsi="Times New Roman" w:eastAsia="宋体"/>
                <w:b w:val="0"/>
                <w:i w:val="0"/>
                <w:sz w:val="18"/>
              </w:rPr>
              <w:t>0.941</w:t>
            </w:r>
          </w:p>
        </w:tc>
        <w:tc>
          <w:tcPr>
            <w:tcW w:type="dxa" w:w="1170"/>
            <w:vAlign w:val="center"/>
          </w:tcPr>
          <w:p>
            <w:pPr>
              <w:spacing w:after="40" w:before="40"/>
            </w:pPr>
            <w:r/>
            <w:r>
              <w:rPr>
                <w:rFonts w:ascii="Times New Roman" w:hAnsi="Times New Roman" w:eastAsia="宋体"/>
                <w:b w:val="0"/>
                <w:i w:val="0"/>
                <w:sz w:val="18"/>
              </w:rPr>
              <w:t>0.486</w:t>
            </w:r>
          </w:p>
        </w:tc>
        <w:tc>
          <w:tcPr>
            <w:tcW w:type="dxa" w:w="1170"/>
            <w:vAlign w:val="center"/>
          </w:tcPr>
          <w:p>
            <w:pPr>
              <w:spacing w:after="40" w:before="40"/>
            </w:pPr>
            <w:r/>
            <w:r>
              <w:rPr>
                <w:rFonts w:ascii="Times New Roman" w:hAnsi="Times New Roman" w:eastAsia="宋体"/>
                <w:b w:val="0"/>
                <w:i w:val="0"/>
                <w:sz w:val="18"/>
              </w:rPr>
              <w:t>0.472</w:t>
            </w:r>
          </w:p>
        </w:tc>
      </w:tr>
      <w:tr>
        <w:tc>
          <w:tcPr>
            <w:tcW w:type="dxa" w:w="1170"/>
            <w:vAlign w:val="center"/>
          </w:tcPr>
          <w:p>
            <w:pPr>
              <w:spacing w:after="40" w:before="40"/>
            </w:pPr>
            <w:r/>
            <w:r>
              <w:rPr>
                <w:rFonts w:ascii="Times New Roman" w:hAnsi="Times New Roman" w:eastAsia="宋体"/>
                <w:b w:val="0"/>
                <w:i w:val="0"/>
                <w:sz w:val="18"/>
              </w:rPr>
              <w:t>**E4**</w:t>
            </w:r>
          </w:p>
        </w:tc>
        <w:tc>
          <w:tcPr>
            <w:tcW w:type="dxa" w:w="1170"/>
            <w:vAlign w:val="center"/>
          </w:tcPr>
          <w:p>
            <w:pPr>
              <w:spacing w:after="40" w:before="40"/>
            </w:pPr>
            <w:r/>
            <w:r>
              <w:rPr>
                <w:rFonts w:ascii="Times New Roman" w:hAnsi="Times New Roman" w:eastAsia="宋体"/>
                <w:b w:val="0"/>
                <w:i w:val="0"/>
                <w:sz w:val="18"/>
              </w:rPr>
              <w:t>**Context-concat**</w:t>
            </w:r>
          </w:p>
        </w:tc>
        <w:tc>
          <w:tcPr>
            <w:tcW w:type="dxa" w:w="1170"/>
            <w:vAlign w:val="center"/>
          </w:tcPr>
          <w:p>
            <w:pPr>
              <w:spacing w:after="40" w:before="40"/>
            </w:pPr>
            <w:r/>
            <w:r>
              <w:rPr>
                <w:rFonts w:ascii="Times New Roman" w:hAnsi="Times New Roman" w:eastAsia="宋体"/>
                <w:b w:val="0"/>
                <w:i w:val="0"/>
                <w:sz w:val="18"/>
              </w:rPr>
              <w:t>**0.615 ± 0.053**</w:t>
            </w:r>
          </w:p>
        </w:tc>
        <w:tc>
          <w:tcPr>
            <w:tcW w:type="dxa" w:w="1170"/>
            <w:vAlign w:val="center"/>
          </w:tcPr>
          <w:p>
            <w:pPr>
              <w:spacing w:after="40" w:before="40"/>
            </w:pPr>
            <w:r/>
            <w:r>
              <w:rPr>
                <w:rFonts w:ascii="Times New Roman" w:hAnsi="Times New Roman" w:eastAsia="宋体"/>
                <w:b w:val="0"/>
                <w:i w:val="0"/>
                <w:sz w:val="18"/>
              </w:rPr>
              <w:t>**0.643 ± 0.053**</w:t>
            </w:r>
          </w:p>
        </w:tc>
        <w:tc>
          <w:tcPr>
            <w:tcW w:type="dxa" w:w="1170"/>
            <w:vAlign w:val="center"/>
          </w:tcPr>
          <w:p>
            <w:pPr>
              <w:spacing w:after="40" w:before="40"/>
            </w:pPr>
            <w:r/>
            <w:r>
              <w:rPr>
                <w:rFonts w:ascii="Times New Roman" w:hAnsi="Times New Roman" w:eastAsia="宋体"/>
                <w:b w:val="0"/>
                <w:i w:val="0"/>
                <w:sz w:val="18"/>
              </w:rPr>
              <w:t>**0.937**</w:t>
            </w:r>
          </w:p>
        </w:tc>
        <w:tc>
          <w:tcPr>
            <w:tcW w:type="dxa" w:w="1170"/>
            <w:vAlign w:val="center"/>
          </w:tcPr>
          <w:p>
            <w:pPr>
              <w:spacing w:after="40" w:before="40"/>
            </w:pPr>
            <w:r/>
            <w:r>
              <w:rPr>
                <w:rFonts w:ascii="Times New Roman" w:hAnsi="Times New Roman" w:eastAsia="宋体"/>
                <w:b w:val="0"/>
                <w:i w:val="0"/>
                <w:sz w:val="18"/>
              </w:rPr>
              <w:t>**0.935**</w:t>
            </w:r>
          </w:p>
        </w:tc>
        <w:tc>
          <w:tcPr>
            <w:tcW w:type="dxa" w:w="1170"/>
            <w:vAlign w:val="center"/>
          </w:tcPr>
          <w:p>
            <w:pPr>
              <w:spacing w:after="40" w:before="40"/>
            </w:pPr>
            <w:r/>
            <w:r>
              <w:rPr>
                <w:rFonts w:ascii="Times New Roman" w:hAnsi="Times New Roman" w:eastAsia="宋体"/>
                <w:b w:val="0"/>
                <w:i w:val="0"/>
                <w:sz w:val="18"/>
              </w:rPr>
              <w:t>**0.534**</w:t>
            </w:r>
          </w:p>
        </w:tc>
        <w:tc>
          <w:tcPr>
            <w:tcW w:type="dxa" w:w="1170"/>
            <w:vAlign w:val="center"/>
          </w:tcPr>
          <w:p>
            <w:pPr>
              <w:spacing w:after="40" w:before="40"/>
            </w:pPr>
            <w:r/>
            <w:r>
              <w:rPr>
                <w:rFonts w:ascii="Times New Roman" w:hAnsi="Times New Roman" w:eastAsia="宋体"/>
                <w:b w:val="0"/>
                <w:i w:val="0"/>
                <w:sz w:val="18"/>
              </w:rPr>
              <w:t>**0.541**</w:t>
            </w:r>
          </w:p>
        </w:tc>
      </w:tr>
      <w:tr>
        <w:tc>
          <w:tcPr>
            <w:tcW w:type="dxa" w:w="1170"/>
            <w:vAlign w:val="center"/>
          </w:tcPr>
          <w:p>
            <w:pPr>
              <w:spacing w:after="40" w:before="40"/>
            </w:pPr>
            <w:r/>
            <w:r>
              <w:rPr>
                <w:rFonts w:ascii="Times New Roman" w:hAnsi="Times New Roman" w:eastAsia="宋体"/>
                <w:b w:val="0"/>
                <w:i w:val="0"/>
                <w:sz w:val="18"/>
              </w:rPr>
              <w:t>E5</w:t>
            </w:r>
          </w:p>
        </w:tc>
        <w:tc>
          <w:tcPr>
            <w:tcW w:type="dxa" w:w="1170"/>
            <w:vAlign w:val="center"/>
          </w:tcPr>
          <w:p>
            <w:pPr>
              <w:spacing w:after="40" w:before="40"/>
            </w:pPr>
            <w:r/>
            <w:r>
              <w:rPr>
                <w:rFonts w:ascii="Times New Roman" w:hAnsi="Times New Roman" w:eastAsia="宋体"/>
                <w:b w:val="0"/>
                <w:i w:val="0"/>
                <w:sz w:val="18"/>
              </w:rPr>
              <w:t>Context-add</w:t>
            </w:r>
          </w:p>
        </w:tc>
        <w:tc>
          <w:tcPr>
            <w:tcW w:type="dxa" w:w="1170"/>
            <w:vAlign w:val="center"/>
          </w:tcPr>
          <w:p>
            <w:pPr>
              <w:spacing w:after="40" w:before="40"/>
            </w:pPr>
            <w:r/>
            <w:r>
              <w:rPr>
                <w:rFonts w:ascii="Times New Roman" w:hAnsi="Times New Roman" w:eastAsia="宋体"/>
                <w:b w:val="0"/>
                <w:i w:val="0"/>
                <w:sz w:val="18"/>
              </w:rPr>
              <w:t>0.581 ± 0.069</w:t>
            </w:r>
          </w:p>
        </w:tc>
        <w:tc>
          <w:tcPr>
            <w:tcW w:type="dxa" w:w="1170"/>
            <w:vAlign w:val="center"/>
          </w:tcPr>
          <w:p>
            <w:pPr>
              <w:spacing w:after="40" w:before="40"/>
            </w:pPr>
            <w:r/>
            <w:r>
              <w:rPr>
                <w:rFonts w:ascii="Times New Roman" w:hAnsi="Times New Roman" w:eastAsia="宋体"/>
                <w:b w:val="0"/>
                <w:i w:val="0"/>
                <w:sz w:val="18"/>
              </w:rPr>
              <w:t>0.614 ± 0.062</w:t>
            </w:r>
          </w:p>
        </w:tc>
        <w:tc>
          <w:tcPr>
            <w:tcW w:type="dxa" w:w="1170"/>
            <w:vAlign w:val="center"/>
          </w:tcPr>
          <w:p>
            <w:pPr>
              <w:spacing w:after="40" w:before="40"/>
            </w:pPr>
            <w:r/>
            <w:r>
              <w:rPr>
                <w:rFonts w:ascii="Times New Roman" w:hAnsi="Times New Roman" w:eastAsia="宋体"/>
                <w:b w:val="0"/>
                <w:i w:val="0"/>
                <w:sz w:val="18"/>
              </w:rPr>
              <w:t>0.932</w:t>
            </w:r>
          </w:p>
        </w:tc>
        <w:tc>
          <w:tcPr>
            <w:tcW w:type="dxa" w:w="1170"/>
            <w:vAlign w:val="center"/>
          </w:tcPr>
          <w:p>
            <w:pPr>
              <w:spacing w:after="40" w:before="40"/>
            </w:pPr>
            <w:r/>
            <w:r>
              <w:rPr>
                <w:rFonts w:ascii="Times New Roman" w:hAnsi="Times New Roman" w:eastAsia="宋体"/>
                <w:b w:val="0"/>
                <w:i w:val="0"/>
                <w:sz w:val="18"/>
              </w:rPr>
              <w:t>0.940</w:t>
            </w:r>
          </w:p>
        </w:tc>
        <w:tc>
          <w:tcPr>
            <w:tcW w:type="dxa" w:w="1170"/>
            <w:vAlign w:val="center"/>
          </w:tcPr>
          <w:p>
            <w:pPr>
              <w:spacing w:after="40" w:before="40"/>
            </w:pPr>
            <w:r/>
            <w:r>
              <w:rPr>
                <w:rFonts w:ascii="Times New Roman" w:hAnsi="Times New Roman" w:eastAsia="宋体"/>
                <w:b w:val="0"/>
                <w:i w:val="0"/>
                <w:sz w:val="18"/>
              </w:rPr>
              <w:t>0.510</w:t>
            </w:r>
          </w:p>
        </w:tc>
        <w:tc>
          <w:tcPr>
            <w:tcW w:type="dxa" w:w="1170"/>
            <w:vAlign w:val="center"/>
          </w:tcPr>
          <w:p>
            <w:pPr>
              <w:spacing w:after="40" w:before="40"/>
            </w:pPr>
            <w:r/>
            <w:r>
              <w:rPr>
                <w:rFonts w:ascii="Times New Roman" w:hAnsi="Times New Roman" w:eastAsia="宋体"/>
                <w:b w:val="0"/>
                <w:i w:val="0"/>
                <w:sz w:val="18"/>
              </w:rPr>
              <w:t>0.522</w:t>
            </w:r>
          </w:p>
        </w:tc>
      </w:tr>
      <w:tr>
        <w:tc>
          <w:tcPr>
            <w:tcW w:type="dxa" w:w="1170"/>
            <w:vAlign w:val="center"/>
          </w:tcPr>
          <w:p>
            <w:pPr>
              <w:spacing w:after="40" w:before="40"/>
            </w:pPr>
            <w:r/>
            <w:r>
              <w:rPr>
                <w:rFonts w:ascii="Times New Roman" w:hAnsi="Times New Roman" w:eastAsia="宋体"/>
                <w:b w:val="0"/>
                <w:i w:val="0"/>
                <w:sz w:val="18"/>
              </w:rPr>
              <w:t>E6</w:t>
            </w:r>
          </w:p>
        </w:tc>
        <w:tc>
          <w:tcPr>
            <w:tcW w:type="dxa" w:w="1170"/>
            <w:vAlign w:val="center"/>
          </w:tcPr>
          <w:p>
            <w:pPr>
              <w:spacing w:after="40" w:before="40"/>
            </w:pPr>
            <w:r/>
            <w:r>
              <w:rPr>
                <w:rFonts w:ascii="Times New Roman" w:hAnsi="Times New Roman" w:eastAsia="宋体"/>
                <w:b w:val="0"/>
                <w:i w:val="0"/>
                <w:sz w:val="18"/>
              </w:rPr>
              <w:t>E4 + 层级损失（λ=0.25）</w:t>
            </w:r>
          </w:p>
        </w:tc>
        <w:tc>
          <w:tcPr>
            <w:tcW w:type="dxa" w:w="1170"/>
            <w:vAlign w:val="center"/>
          </w:tcPr>
          <w:p>
            <w:pPr>
              <w:spacing w:after="40" w:before="40"/>
            </w:pPr>
            <w:r/>
            <w:r>
              <w:rPr>
                <w:rFonts w:ascii="Times New Roman" w:hAnsi="Times New Roman" w:eastAsia="宋体"/>
                <w:b w:val="0"/>
                <w:i w:val="0"/>
                <w:sz w:val="18"/>
              </w:rPr>
              <w:t>0.586 ± 0.081</w:t>
            </w:r>
          </w:p>
        </w:tc>
        <w:tc>
          <w:tcPr>
            <w:tcW w:type="dxa" w:w="1170"/>
            <w:vAlign w:val="center"/>
          </w:tcPr>
          <w:p>
            <w:pPr>
              <w:spacing w:after="40" w:before="40"/>
            </w:pPr>
            <w:r/>
            <w:r>
              <w:rPr>
                <w:rFonts w:ascii="Times New Roman" w:hAnsi="Times New Roman" w:eastAsia="宋体"/>
                <w:b w:val="0"/>
                <w:i w:val="0"/>
                <w:sz w:val="18"/>
              </w:rPr>
              <w:t>0.615 ± 0.090</w:t>
            </w:r>
          </w:p>
        </w:tc>
        <w:tc>
          <w:tcPr>
            <w:tcW w:type="dxa" w:w="1170"/>
            <w:vAlign w:val="center"/>
          </w:tcPr>
          <w:p>
            <w:pPr>
              <w:spacing w:after="40" w:before="40"/>
            </w:pPr>
            <w:r/>
            <w:r>
              <w:rPr>
                <w:rFonts w:ascii="Times New Roman" w:hAnsi="Times New Roman" w:eastAsia="宋体"/>
                <w:b w:val="0"/>
                <w:i w:val="0"/>
                <w:sz w:val="18"/>
              </w:rPr>
              <w:t>0.943</w:t>
            </w:r>
          </w:p>
        </w:tc>
        <w:tc>
          <w:tcPr>
            <w:tcW w:type="dxa" w:w="1170"/>
            <w:vAlign w:val="center"/>
          </w:tcPr>
          <w:p>
            <w:pPr>
              <w:spacing w:after="40" w:before="40"/>
            </w:pPr>
            <w:r/>
            <w:r>
              <w:rPr>
                <w:rFonts w:ascii="Times New Roman" w:hAnsi="Times New Roman" w:eastAsia="宋体"/>
                <w:b w:val="0"/>
                <w:i w:val="0"/>
                <w:sz w:val="18"/>
              </w:rPr>
              <w:t>0.940</w:t>
            </w:r>
          </w:p>
        </w:tc>
        <w:tc>
          <w:tcPr>
            <w:tcW w:type="dxa" w:w="1170"/>
            <w:vAlign w:val="center"/>
          </w:tcPr>
          <w:p>
            <w:pPr>
              <w:spacing w:after="40" w:before="40"/>
            </w:pPr>
            <w:r/>
            <w:r>
              <w:rPr>
                <w:rFonts w:ascii="Times New Roman" w:hAnsi="Times New Roman" w:eastAsia="宋体"/>
                <w:b w:val="0"/>
                <w:i w:val="0"/>
                <w:sz w:val="18"/>
              </w:rPr>
              <w:t>0.535</w:t>
            </w:r>
          </w:p>
        </w:tc>
        <w:tc>
          <w:tcPr>
            <w:tcW w:type="dxa" w:w="1170"/>
            <w:vAlign w:val="center"/>
          </w:tcPr>
          <w:p>
            <w:pPr>
              <w:spacing w:after="40" w:before="40"/>
            </w:pPr>
            <w:r/>
            <w:r>
              <w:rPr>
                <w:rFonts w:ascii="Times New Roman" w:hAnsi="Times New Roman" w:eastAsia="宋体"/>
                <w:b w:val="0"/>
                <w:i w:val="0"/>
                <w:sz w:val="18"/>
              </w:rPr>
              <w:t>0.542</w:t>
            </w:r>
          </w:p>
        </w:tc>
      </w:tr>
    </w:tbl>
    <w:p>
      <w:pPr>
        <w:spacing w:before="0" w:after="40"/>
      </w:pPr>
    </w:p>
    <w:p>
      <w:pPr>
        <w:spacing w:before="0" w:after="120"/>
      </w:pPr>
      <w:r>
        <w:rPr>
          <w:rFonts w:ascii="Times New Roman" w:hAnsi="Times New Roman" w:eastAsia="宋体"/>
          <w:b w:val="0"/>
          <w:i w:val="0"/>
          <w:sz w:val="21"/>
        </w:rPr>
        <w:t>三种子均值（seeds 42, 7, 2024）：E4 相位 0.611 ± 0.006、测量 0.639 ± 0.008；E2 0.608 ± 0.008 / 0.626 ± 0.011；E5 0.566 ± 0.012 / 0.608 ± 0.010。</w:t>
      </w:r>
    </w:p>
    <w:p>
      <w:pPr>
        <w:spacing w:before="0" w:after="120"/>
      </w:pPr>
      <w:r>
        <w:rPr>
          <w:rFonts w:ascii="Times New Roman" w:hAnsi="Times New Roman" w:eastAsia="宋体"/>
          <w:b w:val="0"/>
          <w:i w:val="0"/>
          <w:sz w:val="21"/>
        </w:rPr>
        <w:t>配对聚类 bootstrap（2,000 次，seed 42，按测量聚类；差值 = E4 − 变体）：</w:t>
      </w:r>
    </w:p>
    <w:p>
      <w:pPr>
        <w:spacing w:before="0" w:after="60"/>
        <w:ind w:left="360"/>
      </w:pPr>
      <w:r>
        <w:rPr>
          <w:rFonts w:ascii="Times New Roman" w:hAnsi="Times New Roman" w:eastAsia="宋体"/>
          <w:b w:val="0"/>
          <w:i w:val="0"/>
          <w:sz w:val="21"/>
        </w:rPr>
        <w:t xml:space="preserve">E4 vs E2：相位 +0.055 [95% CI +0.006, +0.103]、测量 +0.071 [+0.023, +0.118] — </w:t>
      </w:r>
      <w:r>
        <w:rPr>
          <w:rFonts w:ascii="Times New Roman" w:hAnsi="Times New Roman" w:eastAsia="宋体"/>
          <w:b/>
          <w:i w:val="0"/>
          <w:sz w:val="21"/>
        </w:rPr>
        <w:t>显著</w:t>
      </w:r>
    </w:p>
    <w:p>
      <w:pPr>
        <w:spacing w:before="0" w:after="60"/>
        <w:ind w:left="360"/>
      </w:pPr>
      <w:r>
        <w:rPr>
          <w:rFonts w:ascii="Times New Roman" w:hAnsi="Times New Roman" w:eastAsia="宋体"/>
          <w:b w:val="0"/>
          <w:i w:val="0"/>
          <w:sz w:val="21"/>
        </w:rPr>
        <w:t xml:space="preserve">E4 vs E5：相位 +0.073 [+0.028, +0.117]、测量 +0.077 [+0.025, +0.127] — </w:t>
      </w:r>
      <w:r>
        <w:rPr>
          <w:rFonts w:ascii="Times New Roman" w:hAnsi="Times New Roman" w:eastAsia="宋体"/>
          <w:b/>
          <w:i w:val="0"/>
          <w:sz w:val="21"/>
        </w:rPr>
        <w:t>显著</w:t>
      </w:r>
    </w:p>
    <w:p>
      <w:pPr>
        <w:spacing w:before="0" w:after="60"/>
        <w:ind w:left="360"/>
      </w:pPr>
      <w:r>
        <w:rPr>
          <w:rFonts w:ascii="Times New Roman" w:hAnsi="Times New Roman" w:eastAsia="宋体"/>
          <w:b w:val="0"/>
          <w:i w:val="0"/>
          <w:sz w:val="21"/>
        </w:rPr>
        <w:t>E4 vs E3：相位 +0.036 [−0.012, +0.087]、测量 +0.045 [−0.002, +0.096] — 不显著</w:t>
      </w:r>
    </w:p>
    <w:p>
      <w:pPr>
        <w:spacing w:before="0" w:after="60"/>
        <w:ind w:left="360"/>
      </w:pPr>
      <w:r>
        <w:rPr>
          <w:rFonts w:ascii="Times New Roman" w:hAnsi="Times New Roman" w:eastAsia="宋体"/>
          <w:b w:val="0"/>
          <w:i w:val="0"/>
          <w:sz w:val="21"/>
        </w:rPr>
        <w:t>E6 vs E4：相位 −0.030 [−0.084, +0.024]、测量 −0.050 [−0.104, +0.003] — 不显著（负结果，如实报告）</w:t>
      </w:r>
    </w:p>
    <w:p>
      <w:pPr>
        <w:spacing w:before="0" w:after="120"/>
      </w:pPr>
      <w:r>
        <w:rPr>
          <w:rFonts w:ascii="Times New Roman" w:hAnsi="Times New Roman" w:eastAsia="宋体"/>
          <w:b w:val="0"/>
          <w:i w:val="0"/>
          <w:sz w:val="21"/>
        </w:rPr>
        <w:t>E1（无交互）在三种子下均为最弱（seed-42 相位 0.483 ± 0.060），确认三相交互是必要组件。</w:t>
      </w:r>
    </w:p>
    <w:p>
      <w:pPr>
        <w:spacing w:before="0" w:after="120"/>
      </w:pPr>
      <w:r>
        <w:rPr>
          <w:rFonts w:ascii="Times New Roman" w:hAnsi="Times New Roman" w:eastAsia="宋体"/>
          <w:b/>
          <w:i w:val="0"/>
          <w:sz w:val="21"/>
        </w:rPr>
        <w:t>主模型选择</w:t>
      </w:r>
      <w:r>
        <w:rPr>
          <w:rFonts w:ascii="Times New Roman" w:hAnsi="Times New Roman" w:eastAsia="宋体"/>
          <w:b w:val="0"/>
          <w:i w:val="0"/>
          <w:sz w:val="21"/>
        </w:rPr>
        <w:t>：尽管 seed-42 下 E4 与 E3 的差异不显著（且 E3 逐折均值略高），E4 被选为主模型有三点理由。第一，应用需求：E3 的最大聚合将逐元素最大值广播至三相，所有相获得相同分数，逐相故障定位不可能；E4 输出三个独立、可排序的逐相位概率（第四节 C），这正是配电网络相位级诊断的需求。第二，在次要指标上 E4 获得更高的相位 MCC（0.534 vs 0.486）与略高的三种子测量级均值（0.639 vs 0.636）。第三，在交互变体中，仅 E4 显著优于两个共享得分变体（E2：相位 +0.055 [+0.006, +0.103]；E5：相位 +0.073 [+0.028, +0.117]）：以同一锁定方法学（按测量聚类，2,000 次，seed 42，基于锁定 OOF 预测；`results/stage1_tim/posthoc_e3_vs_shared.json`）的事后配对 bootstrap 显示，E3 与 E2（相位 +0.018 [−0.018, +0.052]）或 E5（+0.036 [−0.004, +0.077]）差异不显著，E2 vs E5 亦不显著（第六节 B）。E6（层级损失）相对 E4 无显著增益。因此，E4 是逐相独立变体中证据最一致的交互形式。同一事后分析还给出三相交互必要性的 bootstrap 级支持：相位级 E4 vs E1（无交互）+0.153 [+0.102, +0.204]，E3 vs E1 +0.117 [+0.073, +0.159]。开发集 PR 曲线见图 3（历史锁定主模型作参照）。</w:t>
      </w:r>
    </w:p>
    <w:p>
      <w:pPr>
        <w:keepNext/>
        <w:spacing w:before="240" w:after="160"/>
      </w:pPr>
      <w:r>
        <w:rPr>
          <w:rFonts w:ascii="Times New Roman" w:hAnsi="Times New Roman" w:eastAsia="黑体"/>
          <w:b/>
          <w:i w:val="0"/>
          <w:color w:val="1F4D78"/>
          <w:sz w:val="24"/>
        </w:rPr>
        <w:t>D. 匹配编码器与已发表方法</w:t>
      </w:r>
    </w:p>
    <w:p>
      <w:pPr>
        <w:spacing w:before="0" w:after="120"/>
      </w:pPr>
      <w:r>
        <w:rPr>
          <w:rFonts w:ascii="Times New Roman" w:hAnsi="Times New Roman" w:eastAsia="宋体"/>
          <w:b w:val="0"/>
          <w:i w:val="0"/>
          <w:sz w:val="21"/>
        </w:rPr>
        <w:t>为检验"合理的信息选择能否在较低模型容量下维持有竞争力性能"这一假设，本文固定其余组件（鲁棒预处理 → 编码器 → 注意力 MIL → context-concat → 相位分类器，相位级 BCE），仅在相同 K=8 混合窗口、seed 42 与协议下替换编码器。编码器选择遵循标准时序分类设计 [26], [27], [28]。MACs 与延迟来自 Stage-1 基准（合成 800k 信号，50 次重复，p50）。</w:t>
      </w:r>
    </w:p>
    <w:p>
      <w:pPr>
        <w:spacing w:before="160" w:after="40"/>
      </w:pPr>
      <w:r>
        <w:rPr>
          <w:rFonts w:ascii="Times New Roman" w:hAnsi="Times New Roman" w:eastAsia="宋体"/>
          <w:b w:val="0"/>
          <w:i w:val="0"/>
          <w:sz w:val="18"/>
        </w:rPr>
        <w:t>表 IV  匹配编码器对比（相同协议，seed 42）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val="clear" w:fill="F4F6F9"/>
          </w:tcPr>
          <w:p>
            <w:pPr>
              <w:spacing w:after="40" w:before="40"/>
            </w:pPr>
            <w:r/>
            <w:r>
              <w:rPr>
                <w:rFonts w:ascii="Times New Roman" w:hAnsi="Times New Roman" w:eastAsia="宋体"/>
                <w:b/>
                <w:i w:val="0"/>
                <w:sz w:val="18"/>
              </w:rPr>
              <w:t>编码器</w:t>
            </w:r>
          </w:p>
        </w:tc>
        <w:tc>
          <w:tcPr>
            <w:tcW w:type="dxa" w:w="1337"/>
            <w:vAlign w:val="center"/>
            <w:shd w:val="clear" w:fill="F4F6F9"/>
          </w:tcPr>
          <w:p>
            <w:pPr>
              <w:spacing w:after="40" w:before="40"/>
            </w:pPr>
            <w:r/>
            <w:r>
              <w:rPr>
                <w:rFonts w:ascii="Times New Roman" w:hAnsi="Times New Roman" w:eastAsia="宋体"/>
                <w:b/>
                <w:i w:val="0"/>
                <w:sz w:val="18"/>
              </w:rPr>
              <w:t>参数（总/执行）</w:t>
            </w:r>
          </w:p>
        </w:tc>
        <w:tc>
          <w:tcPr>
            <w:tcW w:type="dxa" w:w="1337"/>
            <w:vAlign w:val="center"/>
            <w:shd w:val="clear" w:fill="F4F6F9"/>
          </w:tcPr>
          <w:p>
            <w:pPr>
              <w:spacing w:after="40" w:before="40"/>
            </w:pPr>
            <w:r/>
            <w:r>
              <w:rPr>
                <w:rFonts w:ascii="Times New Roman" w:hAnsi="Times New Roman" w:eastAsia="宋体"/>
                <w:b/>
                <w:i w:val="0"/>
                <w:sz w:val="18"/>
              </w:rPr>
              <w:t>MACs/测量</w:t>
            </w:r>
          </w:p>
        </w:tc>
        <w:tc>
          <w:tcPr>
            <w:tcW w:type="dxa" w:w="1337"/>
            <w:vAlign w:val="center"/>
            <w:shd w:val="clear" w:fill="F4F6F9"/>
          </w:tcPr>
          <w:p>
            <w:pPr>
              <w:spacing w:after="40" w:before="40"/>
            </w:pPr>
            <w:r/>
            <w:r>
              <w:rPr>
                <w:rFonts w:ascii="Times New Roman" w:hAnsi="Times New Roman" w:eastAsia="宋体"/>
                <w:b/>
                <w:i w:val="0"/>
                <w:sz w:val="18"/>
              </w:rPr>
              <w:t>GPU b1 (ms)</w:t>
            </w:r>
          </w:p>
        </w:tc>
        <w:tc>
          <w:tcPr>
            <w:tcW w:type="dxa" w:w="1337"/>
            <w:vAlign w:val="center"/>
            <w:shd w:val="clear" w:fill="F4F6F9"/>
          </w:tcPr>
          <w:p>
            <w:pPr>
              <w:spacing w:after="40" w:before="40"/>
            </w:pPr>
            <w:r/>
            <w:r>
              <w:rPr>
                <w:rFonts w:ascii="Times New Roman" w:hAnsi="Times New Roman" w:eastAsia="宋体"/>
                <w:b/>
                <w:i w:val="0"/>
                <w:sz w:val="18"/>
              </w:rPr>
              <w:t>CPU b1 (ms)</w:t>
            </w:r>
          </w:p>
        </w:tc>
        <w:tc>
          <w:tcPr>
            <w:tcW w:type="dxa" w:w="1337"/>
            <w:vAlign w:val="center"/>
            <w:shd w:val="clear" w:fill="F4F6F9"/>
          </w:tcPr>
          <w:p>
            <w:pPr>
              <w:spacing w:after="40" w:before="40"/>
            </w:pPr>
            <w:r/>
            <w:r>
              <w:rPr>
                <w:rFonts w:ascii="Times New Roman" w:hAnsi="Times New Roman" w:eastAsia="宋体"/>
                <w:b/>
                <w:i w:val="0"/>
                <w:sz w:val="18"/>
              </w:rPr>
              <w:t>相位 PR-AUC</w:t>
            </w:r>
          </w:p>
        </w:tc>
        <w:tc>
          <w:tcPr>
            <w:tcW w:type="dxa" w:w="1337"/>
            <w:vAlign w:val="center"/>
            <w:shd w:val="clear" w:fill="F4F6F9"/>
          </w:tcPr>
          <w:p>
            <w:pPr>
              <w:spacing w:after="40" w:before="40"/>
            </w:pPr>
            <w:r/>
            <w:r>
              <w:rPr>
                <w:rFonts w:ascii="Times New Roman" w:hAnsi="Times New Roman" w:eastAsia="宋体"/>
                <w:b/>
                <w:i w:val="0"/>
                <w:sz w:val="18"/>
              </w:rPr>
              <w:t>测量 PR-AUC</w:t>
            </w:r>
          </w:p>
        </w:tc>
      </w:tr>
      <w:tr>
        <w:tc>
          <w:tcPr>
            <w:tcW w:type="dxa" w:w="1337"/>
            <w:vAlign w:val="center"/>
          </w:tcPr>
          <w:p>
            <w:pPr>
              <w:spacing w:after="40" w:before="40"/>
            </w:pPr>
            <w:r/>
            <w:r>
              <w:rPr>
                <w:rFonts w:ascii="Times New Roman" w:hAnsi="Times New Roman" w:eastAsia="宋体"/>
                <w:b w:val="0"/>
                <w:i w:val="0"/>
                <w:sz w:val="18"/>
              </w:rPr>
              <w:t>cnn（E4）</w:t>
            </w:r>
          </w:p>
        </w:tc>
        <w:tc>
          <w:tcPr>
            <w:tcW w:type="dxa" w:w="1337"/>
            <w:vAlign w:val="center"/>
          </w:tcPr>
          <w:p>
            <w:pPr>
              <w:spacing w:after="40" w:before="40"/>
            </w:pPr>
            <w:r/>
            <w:r>
              <w:rPr>
                <w:rFonts w:ascii="Times New Roman" w:hAnsi="Times New Roman" w:eastAsia="宋体"/>
                <w:b w:val="0"/>
                <w:i w:val="0"/>
                <w:sz w:val="18"/>
              </w:rPr>
              <w:t>113,265 / 97,201</w:t>
            </w:r>
          </w:p>
        </w:tc>
        <w:tc>
          <w:tcPr>
            <w:tcW w:type="dxa" w:w="1337"/>
            <w:vAlign w:val="center"/>
          </w:tcPr>
          <w:p>
            <w:pPr>
              <w:spacing w:after="40" w:before="40"/>
            </w:pPr>
            <w:r/>
            <w:r>
              <w:rPr>
                <w:rFonts w:ascii="Times New Roman" w:hAnsi="Times New Roman" w:eastAsia="宋体"/>
                <w:b w:val="0"/>
                <w:i w:val="0"/>
                <w:sz w:val="18"/>
              </w:rPr>
              <w:t>62.8M</w:t>
            </w:r>
          </w:p>
        </w:tc>
        <w:tc>
          <w:tcPr>
            <w:tcW w:type="dxa" w:w="1337"/>
            <w:vAlign w:val="center"/>
          </w:tcPr>
          <w:p>
            <w:pPr>
              <w:spacing w:after="40" w:before="40"/>
            </w:pPr>
            <w:r/>
            <w:r>
              <w:rPr>
                <w:rFonts w:ascii="Times New Roman" w:hAnsi="Times New Roman" w:eastAsia="宋体"/>
                <w:b w:val="0"/>
                <w:i w:val="0"/>
                <w:sz w:val="18"/>
              </w:rPr>
              <w:t>1.94</w:t>
            </w:r>
          </w:p>
        </w:tc>
        <w:tc>
          <w:tcPr>
            <w:tcW w:type="dxa" w:w="1337"/>
            <w:vAlign w:val="center"/>
          </w:tcPr>
          <w:p>
            <w:pPr>
              <w:spacing w:after="40" w:before="40"/>
            </w:pPr>
            <w:r/>
            <w:r>
              <w:rPr>
                <w:rFonts w:ascii="Times New Roman" w:hAnsi="Times New Roman" w:eastAsia="宋体"/>
                <w:b w:val="0"/>
                <w:i w:val="0"/>
                <w:sz w:val="18"/>
              </w:rPr>
              <w:t>8.34</w:t>
            </w:r>
          </w:p>
        </w:tc>
        <w:tc>
          <w:tcPr>
            <w:tcW w:type="dxa" w:w="1337"/>
            <w:vAlign w:val="center"/>
          </w:tcPr>
          <w:p>
            <w:pPr>
              <w:spacing w:after="40" w:before="40"/>
            </w:pPr>
            <w:r/>
            <w:r>
              <w:rPr>
                <w:rFonts w:ascii="Times New Roman" w:hAnsi="Times New Roman" w:eastAsia="宋体"/>
                <w:b w:val="0"/>
                <w:i w:val="0"/>
                <w:sz w:val="18"/>
              </w:rPr>
              <w:t>0.615 ± 0.053</w:t>
            </w:r>
          </w:p>
        </w:tc>
        <w:tc>
          <w:tcPr>
            <w:tcW w:type="dxa" w:w="1337"/>
            <w:vAlign w:val="center"/>
          </w:tcPr>
          <w:p>
            <w:pPr>
              <w:spacing w:after="40" w:before="40"/>
            </w:pPr>
            <w:r/>
            <w:r>
              <w:rPr>
                <w:rFonts w:ascii="Times New Roman" w:hAnsi="Times New Roman" w:eastAsia="宋体"/>
                <w:b w:val="0"/>
                <w:i w:val="0"/>
                <w:sz w:val="18"/>
              </w:rPr>
              <w:t>0.643 ± 0.053</w:t>
            </w:r>
          </w:p>
        </w:tc>
      </w:tr>
      <w:tr>
        <w:tc>
          <w:tcPr>
            <w:tcW w:type="dxa" w:w="1337"/>
            <w:vAlign w:val="center"/>
          </w:tcPr>
          <w:p>
            <w:pPr>
              <w:spacing w:after="40" w:before="40"/>
            </w:pPr>
            <w:r/>
            <w:r>
              <w:rPr>
                <w:rFonts w:ascii="Times New Roman" w:hAnsi="Times New Roman" w:eastAsia="宋体"/>
                <w:b w:val="0"/>
                <w:i w:val="0"/>
                <w:sz w:val="18"/>
              </w:rPr>
              <w:t>simple_cnn</w:t>
            </w:r>
          </w:p>
        </w:tc>
        <w:tc>
          <w:tcPr>
            <w:tcW w:type="dxa" w:w="1337"/>
            <w:vAlign w:val="center"/>
          </w:tcPr>
          <w:p>
            <w:pPr>
              <w:spacing w:after="40" w:before="40"/>
            </w:pPr>
            <w:r/>
            <w:r>
              <w:rPr>
                <w:rFonts w:ascii="Times New Roman" w:hAnsi="Times New Roman" w:eastAsia="宋体"/>
                <w:b w:val="0"/>
                <w:i w:val="0"/>
                <w:sz w:val="18"/>
              </w:rPr>
              <w:t>96,945 / 96,945</w:t>
            </w:r>
          </w:p>
        </w:tc>
        <w:tc>
          <w:tcPr>
            <w:tcW w:type="dxa" w:w="1337"/>
            <w:vAlign w:val="center"/>
          </w:tcPr>
          <w:p>
            <w:pPr>
              <w:spacing w:after="40" w:before="40"/>
            </w:pPr>
            <w:r/>
            <w:r>
              <w:rPr>
                <w:rFonts w:ascii="Times New Roman" w:hAnsi="Times New Roman" w:eastAsia="宋体"/>
                <w:b w:val="0"/>
                <w:i w:val="0"/>
                <w:sz w:val="18"/>
              </w:rPr>
              <w:t>62.8M</w:t>
            </w:r>
          </w:p>
        </w:tc>
        <w:tc>
          <w:tcPr>
            <w:tcW w:type="dxa" w:w="1337"/>
            <w:vAlign w:val="center"/>
          </w:tcPr>
          <w:p>
            <w:pPr>
              <w:spacing w:after="40" w:before="40"/>
            </w:pPr>
            <w:r/>
            <w:r>
              <w:rPr>
                <w:rFonts w:ascii="Times New Roman" w:hAnsi="Times New Roman" w:eastAsia="宋体"/>
                <w:b w:val="0"/>
                <w:i w:val="0"/>
                <w:sz w:val="18"/>
              </w:rPr>
              <w:t>1.73</w:t>
            </w:r>
          </w:p>
        </w:tc>
        <w:tc>
          <w:tcPr>
            <w:tcW w:type="dxa" w:w="1337"/>
            <w:vAlign w:val="center"/>
          </w:tcPr>
          <w:p>
            <w:pPr>
              <w:spacing w:after="40" w:before="40"/>
            </w:pPr>
            <w:r/>
            <w:r>
              <w:rPr>
                <w:rFonts w:ascii="Times New Roman" w:hAnsi="Times New Roman" w:eastAsia="宋体"/>
                <w:b w:val="0"/>
                <w:i w:val="0"/>
                <w:sz w:val="18"/>
              </w:rPr>
              <w:t>8.54</w:t>
            </w:r>
          </w:p>
        </w:tc>
        <w:tc>
          <w:tcPr>
            <w:tcW w:type="dxa" w:w="1337"/>
            <w:vAlign w:val="center"/>
          </w:tcPr>
          <w:p>
            <w:pPr>
              <w:spacing w:after="40" w:before="40"/>
            </w:pPr>
            <w:r/>
            <w:r>
              <w:rPr>
                <w:rFonts w:ascii="Times New Roman" w:hAnsi="Times New Roman" w:eastAsia="宋体"/>
                <w:b w:val="0"/>
                <w:i w:val="0"/>
                <w:sz w:val="18"/>
              </w:rPr>
              <w:t>0.633 ± 0.068</w:t>
            </w:r>
          </w:p>
        </w:tc>
        <w:tc>
          <w:tcPr>
            <w:tcW w:type="dxa" w:w="1337"/>
            <w:vAlign w:val="center"/>
          </w:tcPr>
          <w:p>
            <w:pPr>
              <w:spacing w:after="40" w:before="40"/>
            </w:pPr>
            <w:r/>
            <w:r>
              <w:rPr>
                <w:rFonts w:ascii="Times New Roman" w:hAnsi="Times New Roman" w:eastAsia="宋体"/>
                <w:b w:val="0"/>
                <w:i w:val="0"/>
                <w:sz w:val="18"/>
              </w:rPr>
              <w:t>0.656 ± 0.055</w:t>
            </w:r>
          </w:p>
        </w:tc>
      </w:tr>
      <w:tr>
        <w:tc>
          <w:tcPr>
            <w:tcW w:type="dxa" w:w="1337"/>
            <w:vAlign w:val="center"/>
          </w:tcPr>
          <w:p>
            <w:pPr>
              <w:spacing w:after="40" w:before="40"/>
            </w:pPr>
            <w:r/>
            <w:r>
              <w:rPr>
                <w:rFonts w:ascii="Times New Roman" w:hAnsi="Times New Roman" w:eastAsia="宋体"/>
                <w:b w:val="0"/>
                <w:i w:val="0"/>
                <w:sz w:val="18"/>
              </w:rPr>
              <w:t>ResNet1D [25]</w:t>
            </w:r>
          </w:p>
        </w:tc>
        <w:tc>
          <w:tcPr>
            <w:tcW w:type="dxa" w:w="1337"/>
            <w:vAlign w:val="center"/>
          </w:tcPr>
          <w:p>
            <w:pPr>
              <w:spacing w:after="40" w:before="40"/>
            </w:pPr>
            <w:r/>
            <w:r>
              <w:rPr>
                <w:rFonts w:ascii="Times New Roman" w:hAnsi="Times New Roman" w:eastAsia="宋体"/>
                <w:b w:val="0"/>
                <w:i w:val="0"/>
                <w:sz w:val="18"/>
              </w:rPr>
              <w:t>603,170</w:t>
            </w:r>
          </w:p>
        </w:tc>
        <w:tc>
          <w:tcPr>
            <w:tcW w:type="dxa" w:w="1337"/>
            <w:vAlign w:val="center"/>
          </w:tcPr>
          <w:p>
            <w:pPr>
              <w:spacing w:after="40" w:before="40"/>
            </w:pPr>
            <w:r/>
            <w:r>
              <w:rPr>
                <w:rFonts w:ascii="Times New Roman" w:hAnsi="Times New Roman" w:eastAsia="宋体"/>
                <w:b w:val="0"/>
                <w:i w:val="0"/>
                <w:sz w:val="18"/>
              </w:rPr>
              <w:t>16.53G</w:t>
            </w:r>
          </w:p>
        </w:tc>
        <w:tc>
          <w:tcPr>
            <w:tcW w:type="dxa" w:w="1337"/>
            <w:vAlign w:val="center"/>
          </w:tcPr>
          <w:p>
            <w:pPr>
              <w:spacing w:after="40" w:before="40"/>
            </w:pPr>
            <w:r/>
            <w:r>
              <w:rPr>
                <w:rFonts w:ascii="Times New Roman" w:hAnsi="Times New Roman" w:eastAsia="宋体"/>
                <w:b w:val="0"/>
                <w:i w:val="0"/>
                <w:sz w:val="18"/>
              </w:rPr>
              <w:t>7.04</w:t>
            </w:r>
          </w:p>
        </w:tc>
        <w:tc>
          <w:tcPr>
            <w:tcW w:type="dxa" w:w="1337"/>
            <w:vAlign w:val="center"/>
          </w:tcPr>
          <w:p>
            <w:pPr>
              <w:spacing w:after="40" w:before="40"/>
            </w:pPr>
            <w:r/>
            <w:r>
              <w:rPr>
                <w:rFonts w:ascii="Times New Roman" w:hAnsi="Times New Roman" w:eastAsia="宋体"/>
                <w:b w:val="0"/>
                <w:i w:val="0"/>
                <w:sz w:val="18"/>
              </w:rPr>
              <w:t>216.93</w:t>
            </w:r>
          </w:p>
        </w:tc>
        <w:tc>
          <w:tcPr>
            <w:tcW w:type="dxa" w:w="1337"/>
            <w:vAlign w:val="center"/>
          </w:tcPr>
          <w:p>
            <w:pPr>
              <w:spacing w:after="40" w:before="40"/>
            </w:pPr>
            <w:r/>
            <w:r>
              <w:rPr>
                <w:rFonts w:ascii="Times New Roman" w:hAnsi="Times New Roman" w:eastAsia="宋体"/>
                <w:b w:val="0"/>
                <w:i w:val="0"/>
                <w:sz w:val="18"/>
              </w:rPr>
              <w:t>0.688 ± 0.028</w:t>
            </w:r>
          </w:p>
        </w:tc>
        <w:tc>
          <w:tcPr>
            <w:tcW w:type="dxa" w:w="1337"/>
            <w:vAlign w:val="center"/>
          </w:tcPr>
          <w:p>
            <w:pPr>
              <w:spacing w:after="40" w:before="40"/>
            </w:pPr>
            <w:r/>
            <w:r>
              <w:rPr>
                <w:rFonts w:ascii="Times New Roman" w:hAnsi="Times New Roman" w:eastAsia="宋体"/>
                <w:b w:val="0"/>
                <w:i w:val="0"/>
                <w:sz w:val="18"/>
              </w:rPr>
              <w:t>0.720 ± 0.040</w:t>
            </w:r>
          </w:p>
        </w:tc>
      </w:tr>
      <w:tr>
        <w:tc>
          <w:tcPr>
            <w:tcW w:type="dxa" w:w="1337"/>
            <w:vAlign w:val="center"/>
          </w:tcPr>
          <w:p>
            <w:pPr>
              <w:spacing w:after="40" w:before="40"/>
            </w:pPr>
            <w:r/>
            <w:r>
              <w:rPr>
                <w:rFonts w:ascii="Times New Roman" w:hAnsi="Times New Roman" w:eastAsia="宋体"/>
                <w:b w:val="0"/>
                <w:i w:val="0"/>
                <w:sz w:val="18"/>
              </w:rPr>
              <w:t>InceptionTime [28]</w:t>
            </w:r>
          </w:p>
        </w:tc>
        <w:tc>
          <w:tcPr>
            <w:tcW w:type="dxa" w:w="1337"/>
            <w:vAlign w:val="center"/>
          </w:tcPr>
          <w:p>
            <w:pPr>
              <w:spacing w:after="40" w:before="40"/>
            </w:pPr>
            <w:r/>
            <w:r>
              <w:rPr>
                <w:rFonts w:ascii="Times New Roman" w:hAnsi="Times New Roman" w:eastAsia="宋体"/>
                <w:b w:val="0"/>
                <w:i w:val="0"/>
                <w:sz w:val="18"/>
              </w:rPr>
              <w:t>627,186</w:t>
            </w:r>
          </w:p>
        </w:tc>
        <w:tc>
          <w:tcPr>
            <w:tcW w:type="dxa" w:w="1337"/>
            <w:vAlign w:val="center"/>
          </w:tcPr>
          <w:p>
            <w:pPr>
              <w:spacing w:after="40" w:before="40"/>
            </w:pPr>
            <w:r/>
            <w:r>
              <w:rPr>
                <w:rFonts w:ascii="Times New Roman" w:hAnsi="Times New Roman" w:eastAsia="宋体"/>
                <w:b w:val="0"/>
                <w:i w:val="0"/>
                <w:sz w:val="18"/>
              </w:rPr>
              <w:t>55.70G</w:t>
            </w:r>
          </w:p>
        </w:tc>
        <w:tc>
          <w:tcPr>
            <w:tcW w:type="dxa" w:w="1337"/>
            <w:vAlign w:val="center"/>
          </w:tcPr>
          <w:p>
            <w:pPr>
              <w:spacing w:after="40" w:before="40"/>
            </w:pPr>
            <w:r/>
            <w:r>
              <w:rPr>
                <w:rFonts w:ascii="Times New Roman" w:hAnsi="Times New Roman" w:eastAsia="宋体"/>
                <w:b w:val="0"/>
                <w:i w:val="0"/>
                <w:sz w:val="18"/>
              </w:rPr>
              <w:t>21.87</w:t>
            </w:r>
          </w:p>
        </w:tc>
        <w:tc>
          <w:tcPr>
            <w:tcW w:type="dxa" w:w="1337"/>
            <w:vAlign w:val="center"/>
          </w:tcPr>
          <w:p>
            <w:pPr>
              <w:spacing w:after="40" w:before="40"/>
            </w:pPr>
            <w:r/>
            <w:r>
              <w:rPr>
                <w:rFonts w:ascii="Times New Roman" w:hAnsi="Times New Roman" w:eastAsia="宋体"/>
                <w:b w:val="0"/>
                <w:i w:val="0"/>
                <w:sz w:val="18"/>
              </w:rPr>
              <w:t>1031.70</w:t>
            </w:r>
          </w:p>
        </w:tc>
        <w:tc>
          <w:tcPr>
            <w:tcW w:type="dxa" w:w="1337"/>
            <w:vAlign w:val="center"/>
          </w:tcPr>
          <w:p>
            <w:pPr>
              <w:spacing w:after="40" w:before="40"/>
            </w:pPr>
            <w:r/>
            <w:r>
              <w:rPr>
                <w:rFonts w:ascii="Times New Roman" w:hAnsi="Times New Roman" w:eastAsia="宋体"/>
                <w:b w:val="0"/>
                <w:i w:val="0"/>
                <w:sz w:val="18"/>
              </w:rPr>
              <w:t>0.636 ± 0.071</w:t>
            </w:r>
          </w:p>
        </w:tc>
        <w:tc>
          <w:tcPr>
            <w:tcW w:type="dxa" w:w="1337"/>
            <w:vAlign w:val="center"/>
          </w:tcPr>
          <w:p>
            <w:pPr>
              <w:spacing w:after="40" w:before="40"/>
            </w:pPr>
            <w:r/>
            <w:r>
              <w:rPr>
                <w:rFonts w:ascii="Times New Roman" w:hAnsi="Times New Roman" w:eastAsia="宋体"/>
                <w:b w:val="0"/>
                <w:i w:val="0"/>
                <w:sz w:val="18"/>
              </w:rPr>
              <w:t>0.673 ± 0.092</w:t>
            </w:r>
          </w:p>
        </w:tc>
      </w:tr>
    </w:tbl>
    <w:p>
      <w:pPr>
        <w:spacing w:before="0" w:after="40"/>
      </w:pPr>
    </w:p>
    <w:p>
      <w:pPr>
        <w:spacing w:before="0" w:after="120"/>
      </w:pPr>
      <w:r>
        <w:rPr>
          <w:rFonts w:ascii="Times New Roman" w:hAnsi="Times New Roman" w:eastAsia="宋体"/>
          <w:b w:val="0"/>
          <w:i w:val="0"/>
          <w:sz w:val="21"/>
        </w:rPr>
        <w:t>配对 bootstrap（seed 42，2,000 次）：ResNet1D 是唯一显著高于 cnn 的编码器（相位 +0.095 [+0.033, +0.152]；测量 +0.064 [+0.007, +0.119]），代价约为 263× MACs、3.6× GPU 单样本延迟与 26× CPU 延迟。InceptionTime 不显著（相位 +0.044 [−0.005, +0.092]），代价约为 887× MACs；simple_cnn 差异不显著（相位 −0.005 [−0.048, +0.041]）。因此轻量定位是精度-效率权衡：97,201 个执行参数、62.8M MACs 与约 1.9 ms GPU 单样本延迟取得有竞争力的判别质量，但不宣称最高精度。</w:t>
      </w:r>
    </w:p>
    <w:p>
      <w:pPr>
        <w:spacing w:before="0" w:after="120"/>
      </w:pPr>
      <w:r>
        <w:rPr>
          <w:rFonts w:ascii="Times New Roman" w:hAnsi="Times New Roman" w:eastAsia="宋体"/>
          <w:b w:val="0"/>
          <w:i w:val="0"/>
          <w:sz w:val="21"/>
        </w:rPr>
        <w:t xml:space="preserve">在较早历史协议（Mean MIL + Max 交互，同折同特征缓存）下适配到本文框架的已发表方法仅作文献参照点，不与 E4 配对 bootstrap 比较 [7], [8]：Zheng TF-CNN（134,113 参数；STFT + 2D CNN）在该协议下达到相位 PR-AUC 0.715 ± 0.050 / 测量 0.737；Fei CNN+QSVM（55,472 CNN + 3,989 SV）达到 0.495 ± 0.053 / 0.632。为消除跨协议歧义，本文在 E4 协议（context-concat 交互，同折同特征缓存）下复测 Zheng 时频编码器：达到相位 PR-AUC </w:t>
      </w:r>
      <w:r>
        <w:rPr>
          <w:rFonts w:ascii="Times New Roman" w:hAnsi="Times New Roman" w:eastAsia="宋体"/>
          <w:b/>
          <w:i w:val="0"/>
          <w:sz w:val="21"/>
        </w:rPr>
        <w:t>0.703 ± 0.025</w:t>
      </w:r>
      <w:r>
        <w:rPr>
          <w:rFonts w:ascii="Times New Roman" w:hAnsi="Times New Roman" w:eastAsia="宋体"/>
          <w:b w:val="0"/>
          <w:i w:val="0"/>
          <w:sz w:val="21"/>
        </w:rPr>
        <w:t xml:space="preserve"> / 测量 0.744（pooled-OOF 0.599），167,394 参数。两点结论：第一，编码器可插拔主张获得直接证据——同一时频编码器在两种协议下表现相似（0.715 vs 0.703），协议差异不能解释其相对轻量 CNN 主模型的优势；增益来自更丰富的时频表示（约 1.5× 参数）。第二，这与精度-效率定位一致：更强编码器（Zheng TF-CNN 与第五节 D 的轻量 Transformer）以更高代价提升框架性能上限，轻量 CNN 主模型保留其成本优势。Fei 的结果表明，无窗口级弱监督建模的轻量结构是不够的。TCN 编码器 [29] 亦已准备，但其基线暂停，未纳入本文。</w:t>
      </w:r>
    </w:p>
    <w:p>
      <w:pPr>
        <w:keepNext/>
        <w:spacing w:before="240" w:after="160"/>
      </w:pPr>
      <w:r>
        <w:rPr>
          <w:rFonts w:ascii="Times New Roman" w:hAnsi="Times New Roman" w:eastAsia="黑体"/>
          <w:b/>
          <w:i w:val="0"/>
          <w:color w:val="1F4D78"/>
          <w:sz w:val="24"/>
        </w:rPr>
        <w:t>E. 窗口策略消融</w:t>
      </w:r>
    </w:p>
    <w:p>
      <w:pPr>
        <w:jc w:val="center"/>
      </w:pPr>
      <w:r>
        <w:drawing>
          <wp:inline xmlns:a="http://schemas.openxmlformats.org/drawingml/2006/main" xmlns:pic="http://schemas.openxmlformats.org/drawingml/2006/picture">
            <wp:extent cx="5029200" cy="2481547"/>
            <wp:docPr id="6" name="Picture 6"/>
            <wp:cNvGraphicFramePr>
              <a:graphicFrameLocks noChangeAspect="1"/>
            </wp:cNvGraphicFramePr>
            <a:graphic>
              <a:graphicData uri="http://schemas.openxmlformats.org/drawingml/2006/picture">
                <pic:pic>
                  <pic:nvPicPr>
                    <pic:cNvPr id="0" name="fig8_window_policy.png"/>
                    <pic:cNvPicPr/>
                  </pic:nvPicPr>
                  <pic:blipFill>
                    <a:blip r:embed="rId14"/>
                    <a:stretch>
                      <a:fillRect/>
                    </a:stretch>
                  </pic:blipFill>
                  <pic:spPr>
                    <a:xfrm>
                      <a:off x="0" y="0"/>
                      <a:ext cx="5029200" cy="2481547"/>
                    </a:xfrm>
                    <a:prstGeom prst="rect"/>
                  </pic:spPr>
                </pic:pic>
              </a:graphicData>
            </a:graphic>
          </wp:inline>
        </w:drawing>
      </w:r>
    </w:p>
    <w:p>
      <w:pPr>
        <w:jc w:val="center"/>
      </w:pPr>
      <w:r>
        <w:rPr>
          <w:rFonts w:ascii="Times New Roman" w:hAnsi="Times New Roman" w:eastAsia="宋体"/>
          <w:b w:val="0"/>
          <w:i/>
          <w:color w:val="555555"/>
          <w:sz w:val="18"/>
        </w:rPr>
        <w:t>图 8 窗口策略消融（K 与组成）</w:t>
      </w:r>
    </w:p>
    <w:p>
      <w:pPr>
        <w:jc w:val="center"/>
      </w:pPr>
      <w:r>
        <w:drawing>
          <wp:inline xmlns:a="http://schemas.openxmlformats.org/drawingml/2006/main" xmlns:pic="http://schemas.openxmlformats.org/drawingml/2006/picture">
            <wp:extent cx="5029200" cy="1862439"/>
            <wp:docPr id="7" name="Picture 7"/>
            <wp:cNvGraphicFramePr>
              <a:graphicFrameLocks noChangeAspect="1"/>
            </wp:cNvGraphicFramePr>
            <a:graphic>
              <a:graphicData uri="http://schemas.openxmlformats.org/drawingml/2006/picture">
                <pic:pic>
                  <pic:nvPicPr>
                    <pic:cNvPr id="0" name="fig6_ablation.png"/>
                    <pic:cNvPicPr/>
                  </pic:nvPicPr>
                  <pic:blipFill>
                    <a:blip r:embed="rId15"/>
                    <a:stretch>
                      <a:fillRect/>
                    </a:stretch>
                  </pic:blipFill>
                  <pic:spPr>
                    <a:xfrm>
                      <a:off x="0" y="0"/>
                      <a:ext cx="5029200" cy="1862439"/>
                    </a:xfrm>
                    <a:prstGeom prst="rect"/>
                  </pic:spPr>
                </pic:pic>
              </a:graphicData>
            </a:graphic>
          </wp:inline>
        </w:drawing>
      </w:r>
    </w:p>
    <w:p>
      <w:pPr>
        <w:jc w:val="center"/>
      </w:pPr>
      <w:r>
        <w:rPr>
          <w:rFonts w:ascii="Times New Roman" w:hAnsi="Times New Roman" w:eastAsia="宋体"/>
          <w:b w:val="0"/>
          <w:i/>
          <w:color w:val="555555"/>
          <w:sz w:val="18"/>
        </w:rPr>
        <w:t>图 6 消融实验（历史参考架构机制验证）</w:t>
      </w:r>
    </w:p>
    <w:p>
      <w:pPr>
        <w:spacing w:before="0" w:after="120"/>
      </w:pPr>
      <w:r>
        <w:rPr>
          <w:rFonts w:ascii="Times New Roman" w:hAnsi="Times New Roman" w:eastAsia="宋体"/>
          <w:b w:val="0"/>
          <w:i w:val="0"/>
          <w:sz w:val="21"/>
        </w:rPr>
        <w:t>在相同开发折下，窗口策略在参考架构（203,634 参数，机制验证；历史轻量主模型行是不同模型与特征配置的独立证据，不直接比较）上比较：</w:t>
      </w:r>
    </w:p>
    <w:p>
      <w:pPr>
        <w:spacing w:before="160" w:after="40"/>
      </w:pPr>
      <w:r>
        <w:rPr>
          <w:rFonts w:ascii="Times New Roman" w:hAnsi="Times New Roman" w:eastAsia="宋体"/>
          <w:b w:val="0"/>
          <w:i w:val="0"/>
          <w:sz w:val="18"/>
        </w:rPr>
        <w:t>表 V  窗口策略消融（逐折均值 PR-AUC ± 标准差）</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Times New Roman" w:hAnsi="Times New Roman" w:eastAsia="宋体"/>
                <w:b/>
                <w:i w:val="0"/>
                <w:sz w:val="18"/>
              </w:rPr>
              <w:t>策略</w:t>
            </w:r>
          </w:p>
        </w:tc>
        <w:tc>
          <w:tcPr>
            <w:tcW w:type="dxa" w:w="1872"/>
            <w:vAlign w:val="center"/>
            <w:shd w:val="clear" w:fill="F4F6F9"/>
          </w:tcPr>
          <w:p>
            <w:pPr>
              <w:spacing w:after="40" w:before="40"/>
            </w:pPr>
            <w:r/>
            <w:r>
              <w:rPr>
                <w:rFonts w:ascii="Times New Roman" w:hAnsi="Times New Roman" w:eastAsia="宋体"/>
                <w:b/>
                <w:i w:val="0"/>
                <w:sz w:val="18"/>
              </w:rPr>
              <w:t>K</w:t>
            </w:r>
          </w:p>
        </w:tc>
        <w:tc>
          <w:tcPr>
            <w:tcW w:type="dxa" w:w="1872"/>
            <w:vAlign w:val="center"/>
            <w:shd w:val="clear" w:fill="F4F6F9"/>
          </w:tcPr>
          <w:p>
            <w:pPr>
              <w:spacing w:after="40" w:before="40"/>
            </w:pPr>
            <w:r/>
            <w:r>
              <w:rPr>
                <w:rFonts w:ascii="Times New Roman" w:hAnsi="Times New Roman" w:eastAsia="宋体"/>
                <w:b/>
                <w:i w:val="0"/>
                <w:sz w:val="18"/>
              </w:rPr>
              <w:t>组成</w:t>
            </w:r>
          </w:p>
        </w:tc>
        <w:tc>
          <w:tcPr>
            <w:tcW w:type="dxa" w:w="1872"/>
            <w:vAlign w:val="center"/>
            <w:shd w:val="clear" w:fill="F4F6F9"/>
          </w:tcPr>
          <w:p>
            <w:pPr>
              <w:spacing w:after="40" w:before="40"/>
            </w:pPr>
            <w:r/>
            <w:r>
              <w:rPr>
                <w:rFonts w:ascii="Times New Roman" w:hAnsi="Times New Roman" w:eastAsia="宋体"/>
                <w:b/>
                <w:i w:val="0"/>
                <w:sz w:val="18"/>
              </w:rPr>
              <w:t>相位 PR-AUC</w:t>
            </w:r>
          </w:p>
        </w:tc>
        <w:tc>
          <w:tcPr>
            <w:tcW w:type="dxa" w:w="1872"/>
            <w:vAlign w:val="center"/>
            <w:shd w:val="clear" w:fill="F4F6F9"/>
          </w:tcPr>
          <w:p>
            <w:pPr>
              <w:spacing w:after="40" w:before="40"/>
            </w:pPr>
            <w:r/>
            <w:r>
              <w:rPr>
                <w:rFonts w:ascii="Times New Roman" w:hAnsi="Times New Roman" w:eastAsia="宋体"/>
                <w:b/>
                <w:i w:val="0"/>
                <w:sz w:val="18"/>
              </w:rPr>
              <w:t>测量 PR-AUC</w:t>
            </w:r>
          </w:p>
        </w:tc>
      </w:tr>
      <w:tr>
        <w:tc>
          <w:tcPr>
            <w:tcW w:type="dxa" w:w="1872"/>
            <w:vAlign w:val="center"/>
          </w:tcPr>
          <w:p>
            <w:pPr>
              <w:spacing w:after="40" w:before="40"/>
            </w:pPr>
            <w:r/>
            <w:r>
              <w:rPr>
                <w:rFonts w:ascii="Times New Roman" w:hAnsi="Times New Roman" w:eastAsia="宋体"/>
                <w:b w:val="0"/>
                <w:i w:val="0"/>
                <w:sz w:val="18"/>
              </w:rPr>
              <w:t>single</w:t>
            </w:r>
          </w:p>
        </w:tc>
        <w:tc>
          <w:tcPr>
            <w:tcW w:type="dxa" w:w="1872"/>
            <w:vAlign w:val="center"/>
          </w:tcPr>
          <w:p>
            <w:pPr>
              <w:spacing w:after="40" w:before="40"/>
            </w:pPr>
            <w:r/>
            <w:r>
              <w:rPr>
                <w:rFonts w:ascii="Times New Roman" w:hAnsi="Times New Roman" w:eastAsia="宋体"/>
                <w:b w:val="0"/>
                <w:i w:val="0"/>
                <w:sz w:val="18"/>
              </w:rPr>
              <w:t>1</w:t>
            </w:r>
          </w:p>
        </w:tc>
        <w:tc>
          <w:tcPr>
            <w:tcW w:type="dxa" w:w="1872"/>
            <w:vAlign w:val="center"/>
          </w:tcPr>
          <w:p>
            <w:pPr>
              <w:spacing w:after="40" w:before="40"/>
            </w:pPr>
            <w:r/>
            <w:r>
              <w:rPr>
                <w:rFonts w:ascii="Times New Roman" w:hAnsi="Times New Roman" w:eastAsia="宋体"/>
                <w:b w:val="0"/>
                <w:i w:val="0"/>
                <w:sz w:val="18"/>
              </w:rPr>
              <w:t>1 等距</w:t>
            </w:r>
          </w:p>
        </w:tc>
        <w:tc>
          <w:tcPr>
            <w:tcW w:type="dxa" w:w="1872"/>
            <w:vAlign w:val="center"/>
          </w:tcPr>
          <w:p>
            <w:pPr>
              <w:spacing w:after="40" w:before="40"/>
            </w:pPr>
            <w:r/>
            <w:r>
              <w:rPr>
                <w:rFonts w:ascii="Times New Roman" w:hAnsi="Times New Roman" w:eastAsia="宋体"/>
                <w:b w:val="0"/>
                <w:i w:val="0"/>
                <w:sz w:val="18"/>
              </w:rPr>
              <w:t>0.255 ± 0.029</w:t>
            </w:r>
          </w:p>
        </w:tc>
        <w:tc>
          <w:tcPr>
            <w:tcW w:type="dxa" w:w="1872"/>
            <w:vAlign w:val="center"/>
          </w:tcPr>
          <w:p>
            <w:pPr>
              <w:spacing w:after="40" w:before="40"/>
            </w:pPr>
            <w:r/>
            <w:r>
              <w:rPr>
                <w:rFonts w:ascii="Times New Roman" w:hAnsi="Times New Roman" w:eastAsia="宋体"/>
                <w:b w:val="0"/>
                <w:i w:val="0"/>
                <w:sz w:val="18"/>
              </w:rPr>
              <w:t>0.273</w:t>
            </w:r>
          </w:p>
        </w:tc>
      </w:tr>
      <w:tr>
        <w:tc>
          <w:tcPr>
            <w:tcW w:type="dxa" w:w="1872"/>
            <w:vAlign w:val="center"/>
          </w:tcPr>
          <w:p>
            <w:pPr>
              <w:spacing w:after="40" w:before="40"/>
            </w:pPr>
            <w:r/>
            <w:r>
              <w:rPr>
                <w:rFonts w:ascii="Times New Roman" w:hAnsi="Times New Roman" w:eastAsia="宋体"/>
                <w:b w:val="0"/>
                <w:i w:val="0"/>
                <w:sz w:val="18"/>
              </w:rPr>
              <w:t>equidistant</w:t>
            </w:r>
          </w:p>
        </w:tc>
        <w:tc>
          <w:tcPr>
            <w:tcW w:type="dxa" w:w="1872"/>
            <w:vAlign w:val="center"/>
          </w:tcPr>
          <w:p>
            <w:pPr>
              <w:spacing w:after="40" w:before="40"/>
            </w:pPr>
            <w:r/>
            <w:r>
              <w:rPr>
                <w:rFonts w:ascii="Times New Roman" w:hAnsi="Times New Roman" w:eastAsia="宋体"/>
                <w:b w:val="0"/>
                <w:i w:val="0"/>
                <w:sz w:val="18"/>
              </w:rPr>
              <w:t>8</w:t>
            </w:r>
          </w:p>
        </w:tc>
        <w:tc>
          <w:tcPr>
            <w:tcW w:type="dxa" w:w="1872"/>
            <w:vAlign w:val="center"/>
          </w:tcPr>
          <w:p>
            <w:pPr>
              <w:spacing w:after="40" w:before="40"/>
            </w:pPr>
            <w:r/>
            <w:r>
              <w:rPr>
                <w:rFonts w:ascii="Times New Roman" w:hAnsi="Times New Roman" w:eastAsia="宋体"/>
                <w:b w:val="0"/>
                <w:i w:val="0"/>
                <w:sz w:val="18"/>
              </w:rPr>
              <w:t>8 等距 + 0 事件</w:t>
            </w:r>
          </w:p>
        </w:tc>
        <w:tc>
          <w:tcPr>
            <w:tcW w:type="dxa" w:w="1872"/>
            <w:vAlign w:val="center"/>
          </w:tcPr>
          <w:p>
            <w:pPr>
              <w:spacing w:after="40" w:before="40"/>
            </w:pPr>
            <w:r/>
            <w:r>
              <w:rPr>
                <w:rFonts w:ascii="Times New Roman" w:hAnsi="Times New Roman" w:eastAsia="宋体"/>
                <w:b w:val="0"/>
                <w:i w:val="0"/>
                <w:sz w:val="18"/>
              </w:rPr>
              <w:t>0.526 ± 0.105</w:t>
            </w:r>
          </w:p>
        </w:tc>
        <w:tc>
          <w:tcPr>
            <w:tcW w:type="dxa" w:w="1872"/>
            <w:vAlign w:val="center"/>
          </w:tcPr>
          <w:p>
            <w:pPr>
              <w:spacing w:after="40" w:before="40"/>
            </w:pPr>
            <w:r/>
            <w:r>
              <w:rPr>
                <w:rFonts w:ascii="Times New Roman" w:hAnsi="Times New Roman" w:eastAsia="宋体"/>
                <w:b w:val="0"/>
                <w:i w:val="0"/>
                <w:sz w:val="18"/>
              </w:rPr>
              <w:t>0.534</w:t>
            </w:r>
          </w:p>
        </w:tc>
      </w:tr>
      <w:tr>
        <w:tc>
          <w:tcPr>
            <w:tcW w:type="dxa" w:w="1872"/>
            <w:vAlign w:val="center"/>
          </w:tcPr>
          <w:p>
            <w:pPr>
              <w:spacing w:after="40" w:before="40"/>
            </w:pPr>
            <w:r/>
            <w:r>
              <w:rPr>
                <w:rFonts w:ascii="Times New Roman" w:hAnsi="Times New Roman" w:eastAsia="宋体"/>
                <w:b w:val="0"/>
                <w:i w:val="0"/>
                <w:sz w:val="18"/>
              </w:rPr>
              <w:t>event</w:t>
            </w:r>
          </w:p>
        </w:tc>
        <w:tc>
          <w:tcPr>
            <w:tcW w:type="dxa" w:w="1872"/>
            <w:vAlign w:val="center"/>
          </w:tcPr>
          <w:p>
            <w:pPr>
              <w:spacing w:after="40" w:before="40"/>
            </w:pPr>
            <w:r/>
            <w:r>
              <w:rPr>
                <w:rFonts w:ascii="Times New Roman" w:hAnsi="Times New Roman" w:eastAsia="宋体"/>
                <w:b w:val="0"/>
                <w:i w:val="0"/>
                <w:sz w:val="18"/>
              </w:rPr>
              <w:t>8</w:t>
            </w:r>
          </w:p>
        </w:tc>
        <w:tc>
          <w:tcPr>
            <w:tcW w:type="dxa" w:w="1872"/>
            <w:vAlign w:val="center"/>
          </w:tcPr>
          <w:p>
            <w:pPr>
              <w:spacing w:after="40" w:before="40"/>
            </w:pPr>
            <w:r/>
            <w:r>
              <w:rPr>
                <w:rFonts w:ascii="Times New Roman" w:hAnsi="Times New Roman" w:eastAsia="宋体"/>
                <w:b w:val="0"/>
                <w:i w:val="0"/>
                <w:sz w:val="18"/>
              </w:rPr>
              <w:t>0 等距 + 8 事件</w:t>
            </w:r>
          </w:p>
        </w:tc>
        <w:tc>
          <w:tcPr>
            <w:tcW w:type="dxa" w:w="1872"/>
            <w:vAlign w:val="center"/>
          </w:tcPr>
          <w:p>
            <w:pPr>
              <w:spacing w:after="40" w:before="40"/>
            </w:pPr>
            <w:r/>
            <w:r>
              <w:rPr>
                <w:rFonts w:ascii="Times New Roman" w:hAnsi="Times New Roman" w:eastAsia="宋体"/>
                <w:b w:val="0"/>
                <w:i w:val="0"/>
                <w:sz w:val="18"/>
              </w:rPr>
              <w:t>0.591 ± 0.056</w:t>
            </w:r>
          </w:p>
        </w:tc>
        <w:tc>
          <w:tcPr>
            <w:tcW w:type="dxa" w:w="1872"/>
            <w:vAlign w:val="center"/>
          </w:tcPr>
          <w:p>
            <w:pPr>
              <w:spacing w:after="40" w:before="40"/>
            </w:pPr>
            <w:r/>
            <w:r>
              <w:rPr>
                <w:rFonts w:ascii="Times New Roman" w:hAnsi="Times New Roman" w:eastAsia="宋体"/>
                <w:b w:val="0"/>
                <w:i w:val="0"/>
                <w:sz w:val="18"/>
              </w:rPr>
              <w:t>0.624</w:t>
            </w:r>
          </w:p>
        </w:tc>
      </w:tr>
      <w:tr>
        <w:tc>
          <w:tcPr>
            <w:tcW w:type="dxa" w:w="1872"/>
            <w:vAlign w:val="center"/>
          </w:tcPr>
          <w:p>
            <w:pPr>
              <w:spacing w:after="40" w:before="40"/>
            </w:pPr>
            <w:r/>
            <w:r>
              <w:rPr>
                <w:rFonts w:ascii="Times New Roman" w:hAnsi="Times New Roman" w:eastAsia="宋体"/>
                <w:b w:val="0"/>
                <w:i w:val="0"/>
                <w:sz w:val="18"/>
              </w:rPr>
              <w:t>mixed_k4</w:t>
            </w:r>
          </w:p>
        </w:tc>
        <w:tc>
          <w:tcPr>
            <w:tcW w:type="dxa" w:w="1872"/>
            <w:vAlign w:val="center"/>
          </w:tcPr>
          <w:p>
            <w:pPr>
              <w:spacing w:after="40" w:before="40"/>
            </w:pPr>
            <w:r/>
            <w:r>
              <w:rPr>
                <w:rFonts w:ascii="Times New Roman" w:hAnsi="Times New Roman" w:eastAsia="宋体"/>
                <w:b w:val="0"/>
                <w:i w:val="0"/>
                <w:sz w:val="18"/>
              </w:rPr>
              <w:t>4</w:t>
            </w:r>
          </w:p>
        </w:tc>
        <w:tc>
          <w:tcPr>
            <w:tcW w:type="dxa" w:w="1872"/>
            <w:vAlign w:val="center"/>
          </w:tcPr>
          <w:p>
            <w:pPr>
              <w:spacing w:after="40" w:before="40"/>
            </w:pPr>
            <w:r/>
            <w:r>
              <w:rPr>
                <w:rFonts w:ascii="Times New Roman" w:hAnsi="Times New Roman" w:eastAsia="宋体"/>
                <w:b w:val="0"/>
                <w:i w:val="0"/>
                <w:sz w:val="18"/>
              </w:rPr>
              <w:t>2 等距 + 2 事件</w:t>
            </w:r>
          </w:p>
        </w:tc>
        <w:tc>
          <w:tcPr>
            <w:tcW w:type="dxa" w:w="1872"/>
            <w:vAlign w:val="center"/>
          </w:tcPr>
          <w:p>
            <w:pPr>
              <w:spacing w:after="40" w:before="40"/>
            </w:pPr>
            <w:r/>
            <w:r>
              <w:rPr>
                <w:rFonts w:ascii="Times New Roman" w:hAnsi="Times New Roman" w:eastAsia="宋体"/>
                <w:b w:val="0"/>
                <w:i w:val="0"/>
                <w:sz w:val="18"/>
              </w:rPr>
              <w:t>0.461 ± 0.070</w:t>
            </w:r>
          </w:p>
        </w:tc>
        <w:tc>
          <w:tcPr>
            <w:tcW w:type="dxa" w:w="1872"/>
            <w:vAlign w:val="center"/>
          </w:tcPr>
          <w:p>
            <w:pPr>
              <w:spacing w:after="40" w:before="40"/>
            </w:pPr>
            <w:r/>
            <w:r>
              <w:rPr>
                <w:rFonts w:ascii="Times New Roman" w:hAnsi="Times New Roman" w:eastAsia="宋体"/>
                <w:b w:val="0"/>
                <w:i w:val="0"/>
                <w:sz w:val="18"/>
              </w:rPr>
              <w:t>0.523</w:t>
            </w:r>
          </w:p>
        </w:tc>
      </w:tr>
      <w:tr>
        <w:tc>
          <w:tcPr>
            <w:tcW w:type="dxa" w:w="1872"/>
            <w:vAlign w:val="center"/>
          </w:tcPr>
          <w:p>
            <w:pPr>
              <w:spacing w:after="40" w:before="40"/>
            </w:pPr>
            <w:r/>
            <w:r>
              <w:rPr>
                <w:rFonts w:ascii="Times New Roman" w:hAnsi="Times New Roman" w:eastAsia="宋体"/>
                <w:b w:val="0"/>
                <w:i w:val="0"/>
                <w:sz w:val="18"/>
              </w:rPr>
              <w:t>mixed_k8（203k 参考）</w:t>
            </w:r>
          </w:p>
        </w:tc>
        <w:tc>
          <w:tcPr>
            <w:tcW w:type="dxa" w:w="1872"/>
            <w:vAlign w:val="center"/>
          </w:tcPr>
          <w:p>
            <w:pPr>
              <w:spacing w:after="40" w:before="40"/>
            </w:pPr>
            <w:r/>
            <w:r>
              <w:rPr>
                <w:rFonts w:ascii="Times New Roman" w:hAnsi="Times New Roman" w:eastAsia="宋体"/>
                <w:b w:val="0"/>
                <w:i w:val="0"/>
                <w:sz w:val="18"/>
              </w:rPr>
              <w:t>8</w:t>
            </w:r>
          </w:p>
        </w:tc>
        <w:tc>
          <w:tcPr>
            <w:tcW w:type="dxa" w:w="1872"/>
            <w:vAlign w:val="center"/>
          </w:tcPr>
          <w:p>
            <w:pPr>
              <w:spacing w:after="40" w:before="40"/>
            </w:pPr>
            <w:r/>
            <w:r>
              <w:rPr>
                <w:rFonts w:ascii="Times New Roman" w:hAnsi="Times New Roman" w:eastAsia="宋体"/>
                <w:b w:val="0"/>
                <w:i w:val="0"/>
                <w:sz w:val="18"/>
              </w:rPr>
              <w:t>4 等距 + 4 事件</w:t>
            </w:r>
          </w:p>
        </w:tc>
        <w:tc>
          <w:tcPr>
            <w:tcW w:type="dxa" w:w="1872"/>
            <w:vAlign w:val="center"/>
          </w:tcPr>
          <w:p>
            <w:pPr>
              <w:spacing w:after="40" w:before="40"/>
            </w:pPr>
            <w:r/>
            <w:r>
              <w:rPr>
                <w:rFonts w:ascii="Times New Roman" w:hAnsi="Times New Roman" w:eastAsia="宋体"/>
                <w:b w:val="0"/>
                <w:i w:val="0"/>
                <w:sz w:val="18"/>
              </w:rPr>
              <w:t>0.590 ± 0.081</w:t>
            </w:r>
          </w:p>
        </w:tc>
        <w:tc>
          <w:tcPr>
            <w:tcW w:type="dxa" w:w="1872"/>
            <w:vAlign w:val="center"/>
          </w:tcPr>
          <w:p>
            <w:pPr>
              <w:spacing w:after="40" w:before="40"/>
            </w:pPr>
            <w:r/>
            <w:r>
              <w:rPr>
                <w:rFonts w:ascii="Times New Roman" w:hAnsi="Times New Roman" w:eastAsia="宋体"/>
                <w:b w:val="0"/>
                <w:i w:val="0"/>
                <w:sz w:val="18"/>
              </w:rPr>
              <w:t>0.621</w:t>
            </w:r>
          </w:p>
        </w:tc>
      </w:tr>
      <w:tr>
        <w:tc>
          <w:tcPr>
            <w:tcW w:type="dxa" w:w="1872"/>
            <w:vAlign w:val="center"/>
          </w:tcPr>
          <w:p>
            <w:pPr>
              <w:spacing w:after="40" w:before="40"/>
            </w:pPr>
            <w:r/>
            <w:r>
              <w:rPr>
                <w:rFonts w:ascii="Times New Roman" w:hAnsi="Times New Roman" w:eastAsia="宋体"/>
                <w:b w:val="0"/>
                <w:i w:val="0"/>
                <w:sz w:val="18"/>
              </w:rPr>
              <w:t>mixed_k12（203k 参考）</w:t>
            </w:r>
          </w:p>
        </w:tc>
        <w:tc>
          <w:tcPr>
            <w:tcW w:type="dxa" w:w="1872"/>
            <w:vAlign w:val="center"/>
          </w:tcPr>
          <w:p>
            <w:pPr>
              <w:spacing w:after="40" w:before="40"/>
            </w:pPr>
            <w:r/>
            <w:r>
              <w:rPr>
                <w:rFonts w:ascii="Times New Roman" w:hAnsi="Times New Roman" w:eastAsia="宋体"/>
                <w:b w:val="0"/>
                <w:i w:val="0"/>
                <w:sz w:val="18"/>
              </w:rPr>
              <w:t>12</w:t>
            </w:r>
          </w:p>
        </w:tc>
        <w:tc>
          <w:tcPr>
            <w:tcW w:type="dxa" w:w="1872"/>
            <w:vAlign w:val="center"/>
          </w:tcPr>
          <w:p>
            <w:pPr>
              <w:spacing w:after="40" w:before="40"/>
            </w:pPr>
            <w:r/>
            <w:r>
              <w:rPr>
                <w:rFonts w:ascii="Times New Roman" w:hAnsi="Times New Roman" w:eastAsia="宋体"/>
                <w:b w:val="0"/>
                <w:i w:val="0"/>
                <w:sz w:val="18"/>
              </w:rPr>
              <w:t>6 等距 + 6 事件</w:t>
            </w:r>
          </w:p>
        </w:tc>
        <w:tc>
          <w:tcPr>
            <w:tcW w:type="dxa" w:w="1872"/>
            <w:vAlign w:val="center"/>
          </w:tcPr>
          <w:p>
            <w:pPr>
              <w:spacing w:after="40" w:before="40"/>
            </w:pPr>
            <w:r/>
            <w:r>
              <w:rPr>
                <w:rFonts w:ascii="Times New Roman" w:hAnsi="Times New Roman" w:eastAsia="宋体"/>
                <w:b w:val="0"/>
                <w:i w:val="0"/>
                <w:sz w:val="18"/>
              </w:rPr>
              <w:t>0.644 ± 0.092</w:t>
            </w:r>
          </w:p>
        </w:tc>
        <w:tc>
          <w:tcPr>
            <w:tcW w:type="dxa" w:w="1872"/>
            <w:vAlign w:val="center"/>
          </w:tcPr>
          <w:p>
            <w:pPr>
              <w:spacing w:after="40" w:before="40"/>
            </w:pPr>
            <w:r/>
            <w:r>
              <w:rPr>
                <w:rFonts w:ascii="Times New Roman" w:hAnsi="Times New Roman" w:eastAsia="宋体"/>
                <w:b w:val="0"/>
                <w:i w:val="0"/>
                <w:sz w:val="18"/>
              </w:rPr>
              <w:t>0.668</w:t>
            </w:r>
          </w:p>
        </w:tc>
      </w:tr>
      <w:tr>
        <w:tc>
          <w:tcPr>
            <w:tcW w:type="dxa" w:w="1872"/>
            <w:vAlign w:val="center"/>
          </w:tcPr>
          <w:p>
            <w:pPr>
              <w:spacing w:after="40" w:before="40"/>
            </w:pPr>
            <w:r/>
            <w:r>
              <w:rPr>
                <w:rFonts w:ascii="Times New Roman" w:hAnsi="Times New Roman" w:eastAsia="宋体"/>
                <w:b w:val="0"/>
                <w:i w:val="0"/>
                <w:sz w:val="18"/>
              </w:rPr>
              <w:t>mixed_k8（历史轻量，seed 42）</w:t>
            </w:r>
          </w:p>
        </w:tc>
        <w:tc>
          <w:tcPr>
            <w:tcW w:type="dxa" w:w="1872"/>
            <w:vAlign w:val="center"/>
          </w:tcPr>
          <w:p>
            <w:pPr>
              <w:spacing w:after="40" w:before="40"/>
            </w:pPr>
            <w:r/>
            <w:r>
              <w:rPr>
                <w:rFonts w:ascii="Times New Roman" w:hAnsi="Times New Roman" w:eastAsia="宋体"/>
                <w:b w:val="0"/>
                <w:i w:val="0"/>
                <w:sz w:val="18"/>
              </w:rPr>
              <w:t>8</w:t>
            </w:r>
          </w:p>
        </w:tc>
        <w:tc>
          <w:tcPr>
            <w:tcW w:type="dxa" w:w="1872"/>
            <w:vAlign w:val="center"/>
          </w:tcPr>
          <w:p>
            <w:pPr>
              <w:spacing w:after="40" w:before="40"/>
            </w:pPr>
            <w:r/>
            <w:r>
              <w:rPr>
                <w:rFonts w:ascii="Times New Roman" w:hAnsi="Times New Roman" w:eastAsia="宋体"/>
                <w:b w:val="0"/>
                <w:i w:val="0"/>
                <w:sz w:val="18"/>
              </w:rPr>
              <w:t>4 等距 + 4 事件</w:t>
            </w:r>
          </w:p>
        </w:tc>
        <w:tc>
          <w:tcPr>
            <w:tcW w:type="dxa" w:w="1872"/>
            <w:vAlign w:val="center"/>
          </w:tcPr>
          <w:p>
            <w:pPr>
              <w:spacing w:after="40" w:before="40"/>
            </w:pPr>
            <w:r/>
            <w:r>
              <w:rPr>
                <w:rFonts w:ascii="Times New Roman" w:hAnsi="Times New Roman" w:eastAsia="宋体"/>
                <w:b w:val="0"/>
                <w:i w:val="0"/>
                <w:sz w:val="18"/>
              </w:rPr>
              <w:t>0.639 ± 0.055</w:t>
            </w:r>
          </w:p>
        </w:tc>
        <w:tc>
          <w:tcPr>
            <w:tcW w:type="dxa" w:w="1872"/>
            <w:vAlign w:val="center"/>
          </w:tcPr>
          <w:p>
            <w:pPr>
              <w:spacing w:after="40" w:before="40"/>
            </w:pPr>
            <w:r/>
            <w:r>
              <w:rPr>
                <w:rFonts w:ascii="Times New Roman" w:hAnsi="Times New Roman" w:eastAsia="宋体"/>
                <w:b w:val="0"/>
                <w:i w:val="0"/>
                <w:sz w:val="18"/>
              </w:rPr>
              <w:t>0.657</w:t>
            </w:r>
          </w:p>
        </w:tc>
      </w:tr>
      <w:tr>
        <w:tc>
          <w:tcPr>
            <w:tcW w:type="dxa" w:w="1872"/>
            <w:vAlign w:val="center"/>
          </w:tcPr>
          <w:p>
            <w:pPr>
              <w:spacing w:after="40" w:before="40"/>
            </w:pPr>
            <w:r/>
            <w:r>
              <w:rPr>
                <w:rFonts w:ascii="Times New Roman" w:hAnsi="Times New Roman" w:eastAsia="宋体"/>
                <w:b w:val="0"/>
                <w:i w:val="0"/>
                <w:sz w:val="18"/>
              </w:rPr>
              <w:t>mixed_k12（历史轻量，seed 42）</w:t>
            </w:r>
          </w:p>
        </w:tc>
        <w:tc>
          <w:tcPr>
            <w:tcW w:type="dxa" w:w="1872"/>
            <w:vAlign w:val="center"/>
          </w:tcPr>
          <w:p>
            <w:pPr>
              <w:spacing w:after="40" w:before="40"/>
            </w:pPr>
            <w:r/>
            <w:r>
              <w:rPr>
                <w:rFonts w:ascii="Times New Roman" w:hAnsi="Times New Roman" w:eastAsia="宋体"/>
                <w:b w:val="0"/>
                <w:i w:val="0"/>
                <w:sz w:val="18"/>
              </w:rPr>
              <w:t>12</w:t>
            </w:r>
          </w:p>
        </w:tc>
        <w:tc>
          <w:tcPr>
            <w:tcW w:type="dxa" w:w="1872"/>
            <w:vAlign w:val="center"/>
          </w:tcPr>
          <w:p>
            <w:pPr>
              <w:spacing w:after="40" w:before="40"/>
            </w:pPr>
            <w:r/>
            <w:r>
              <w:rPr>
                <w:rFonts w:ascii="Times New Roman" w:hAnsi="Times New Roman" w:eastAsia="宋体"/>
                <w:b w:val="0"/>
                <w:i w:val="0"/>
                <w:sz w:val="18"/>
              </w:rPr>
              <w:t>6 等距 + 6 事件</w:t>
            </w:r>
          </w:p>
        </w:tc>
        <w:tc>
          <w:tcPr>
            <w:tcW w:type="dxa" w:w="1872"/>
            <w:vAlign w:val="center"/>
          </w:tcPr>
          <w:p>
            <w:pPr>
              <w:spacing w:after="40" w:before="40"/>
            </w:pPr>
            <w:r/>
            <w:r>
              <w:rPr>
                <w:rFonts w:ascii="Times New Roman" w:hAnsi="Times New Roman" w:eastAsia="宋体"/>
                <w:b w:val="0"/>
                <w:i w:val="0"/>
                <w:sz w:val="18"/>
              </w:rPr>
              <w:t>0.670 ± 0.070</w:t>
            </w:r>
          </w:p>
        </w:tc>
        <w:tc>
          <w:tcPr>
            <w:tcW w:type="dxa" w:w="1872"/>
            <w:vAlign w:val="center"/>
          </w:tcPr>
          <w:p>
            <w:pPr>
              <w:spacing w:after="40" w:before="40"/>
            </w:pPr>
            <w:r/>
            <w:r>
              <w:rPr>
                <w:rFonts w:ascii="Times New Roman" w:hAnsi="Times New Roman" w:eastAsia="宋体"/>
                <w:b w:val="0"/>
                <w:i w:val="0"/>
                <w:sz w:val="18"/>
              </w:rPr>
              <w:t>0.679</w:t>
            </w:r>
          </w:p>
        </w:tc>
      </w:tr>
    </w:tbl>
    <w:p>
      <w:pPr>
        <w:spacing w:before="0" w:after="40"/>
      </w:pPr>
    </w:p>
    <w:p>
      <w:pPr>
        <w:spacing w:before="0" w:after="120"/>
      </w:pPr>
      <w:r>
        <w:rPr>
          <w:rFonts w:ascii="Times New Roman" w:hAnsi="Times New Roman" w:eastAsia="宋体"/>
          <w:b w:val="0"/>
          <w:i w:val="0"/>
          <w:sz w:val="21"/>
        </w:rPr>
        <w:t>要点：(1) 单窗口覆盖严重不足（0.255）；(2) 事件窗口携带主要判别信息——203k 参考上纯事件（0.591）与混合 K=8（0.590）几乎相同（差 0.001，属噪声级；纯事件折间标准差更小），故不宣称"混合优于纯事件"；(3) 性能随 K 单调上升（203k 参考：0.461 → 0.590 → 0.644；历史轻量：0.639 → 0.670，seed 42）。K=12 最优但窗口数与提取/训练成本约增加 1.5 倍；混合 K=8 因覆盖鲁棒性（等距锚点保证全局覆盖，并对事件检测失败提供回退）以及冻结协议将一次性盲测提交至 K=8 配置而被保留为主模型。K=12 仅作为开发集证据。结果见图 8。</w:t>
      </w:r>
    </w:p>
    <w:p>
      <w:pPr>
        <w:spacing w:before="0" w:after="120"/>
      </w:pPr>
      <w:r>
        <w:rPr>
          <w:rFonts w:ascii="Times New Roman" w:hAnsi="Times New Roman" w:eastAsia="宋体"/>
          <w:b w:val="0"/>
          <w:i w:val="0"/>
          <w:sz w:val="21"/>
        </w:rPr>
        <w:t>参考架构（203,634 参数；门控注意力 MIL + 循环交互）上的机制验证确认模块级结论（图 6；完整逐折表见补充材料）：编码器消融（门控注意力 + 循环交互）——纯 CNN 0.614 ± 0.073、双分支融合 0.590 ± 0.081、统计特征 MLP 0.208 ± 0.070（相位 PR-AUC）；MIL 聚合（双分支 + 循环）——mean 0.611 ± 0.092、attention 0.603 ± 0.065、gated attention 0.590 ± 0.081、max 0.559 ± 0.045；相位交互（双分支 + 门控注意力）——max 0.620 ± 0.039、mean 0.612 ± 0.070、直接拼接 0.599 ± 0.014、循环交互 0.590 ± 0.081、无交互 0.474 ± 0.087。三点结论：(1) 相位交互是最大贡献项（+0.12–0.15），与 E1–E6 中"无交互显著最弱"一致；(2) 简单编码器与简单 mean/max 交互的均值不低于复杂模块，支持轻量设计，尽管折间标准差较大（±0.04–0.09）且不做显著性断言；(3) 复杂循环等变与门控注意力模块无明显增益。由于这些行使用历史协议与不同模型配置，仅作机制证据而非主报告结果。</w:t>
      </w:r>
    </w:p>
    <w:p>
      <w:pPr>
        <w:keepNext/>
        <w:spacing w:before="240" w:after="160"/>
      </w:pPr>
      <w:r>
        <w:rPr>
          <w:rFonts w:ascii="Times New Roman" w:hAnsi="Times New Roman" w:eastAsia="黑体"/>
          <w:b/>
          <w:i w:val="0"/>
          <w:color w:val="1F4D78"/>
          <w:sz w:val="24"/>
        </w:rPr>
        <w:t>F. 测量不完善鲁棒性</w:t>
      </w:r>
    </w:p>
    <w:p>
      <w:pPr>
        <w:jc w:val="center"/>
      </w:pPr>
      <w:r>
        <w:drawing>
          <wp:inline xmlns:a="http://schemas.openxmlformats.org/drawingml/2006/main" xmlns:pic="http://schemas.openxmlformats.org/drawingml/2006/picture">
            <wp:extent cx="5029200" cy="1370231"/>
            <wp:docPr id="8" name="Picture 8"/>
            <wp:cNvGraphicFramePr>
              <a:graphicFrameLocks noChangeAspect="1"/>
            </wp:cNvGraphicFramePr>
            <a:graphic>
              <a:graphicData uri="http://schemas.openxmlformats.org/drawingml/2006/picture">
                <pic:pic>
                  <pic:nvPicPr>
                    <pic:cNvPr id="0" name="fig7_robustness.png"/>
                    <pic:cNvPicPr/>
                  </pic:nvPicPr>
                  <pic:blipFill>
                    <a:blip r:embed="rId16"/>
                    <a:stretch>
                      <a:fillRect/>
                    </a:stretch>
                  </pic:blipFill>
                  <pic:spPr>
                    <a:xfrm>
                      <a:off x="0" y="0"/>
                      <a:ext cx="5029200" cy="1370231"/>
                    </a:xfrm>
                    <a:prstGeom prst="rect"/>
                  </pic:spPr>
                </pic:pic>
              </a:graphicData>
            </a:graphic>
          </wp:inline>
        </w:drawing>
      </w:r>
    </w:p>
    <w:p>
      <w:pPr>
        <w:jc w:val="center"/>
      </w:pPr>
      <w:r>
        <w:rPr>
          <w:rFonts w:ascii="Times New Roman" w:hAnsi="Times New Roman" w:eastAsia="宋体"/>
          <w:b w:val="0"/>
          <w:i/>
          <w:color w:val="555555"/>
          <w:sz w:val="18"/>
        </w:rPr>
        <w:t>图 7 噪声与扰动鲁棒性（历史锁定主模型）</w:t>
      </w:r>
    </w:p>
    <w:p>
      <w:pPr>
        <w:spacing w:before="0" w:after="120"/>
      </w:pPr>
      <w:r>
        <w:rPr>
          <w:rFonts w:ascii="Times New Roman" w:hAnsi="Times New Roman" w:eastAsia="宋体"/>
          <w:b w:val="0"/>
          <w:i w:val="0"/>
          <w:sz w:val="21"/>
        </w:rPr>
        <w:t>鲁棒性证据来自历史锁定主模型（纯 CNN + 注意力 MIL + mean 交互，5 折检查点；开发集逐折均值 0.622 ± 0.064，OOF 基线相位 PR-AUC 0.568 / 测量 0.599，测量级 bootstrap 95% CI [0.541, 0.659]）。203k 参考架构仅作机制参照；此外，E4 主模型的扰动鲁棒性直接在 IR 训练检查点（第五节 K）上以相同推理时协议测量，使鲁棒性结论与主模型对齐（脚本 `r2_e4_robustness.py`；输出 `results/ir_eval/robustness_E4.json`）。</w:t>
      </w:r>
    </w:p>
    <w:p>
      <w:pPr>
        <w:spacing w:before="160" w:after="40"/>
      </w:pPr>
      <w:r>
        <w:rPr>
          <w:rFonts w:ascii="Times New Roman" w:hAnsi="Times New Roman" w:eastAsia="宋体"/>
          <w:b w:val="0"/>
          <w:i w:val="0"/>
          <w:sz w:val="18"/>
        </w:rPr>
        <w:t>表 VI  推理时扰动鲁棒性（历史锁定主模型，开发集 OOF）</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扰动</w:t>
            </w:r>
          </w:p>
        </w:tc>
        <w:tc>
          <w:tcPr>
            <w:tcW w:type="dxa" w:w="3120"/>
            <w:vAlign w:val="center"/>
            <w:shd w:val="clear" w:fill="F4F6F9"/>
          </w:tcPr>
          <w:p>
            <w:pPr>
              <w:spacing w:after="40" w:before="40"/>
            </w:pPr>
            <w:r/>
            <w:r>
              <w:rPr>
                <w:rFonts w:ascii="Times New Roman" w:hAnsi="Times New Roman" w:eastAsia="宋体"/>
                <w:b/>
                <w:i w:val="0"/>
                <w:sz w:val="18"/>
              </w:rPr>
              <w:t>相位 PR-AUC 相对下降</w:t>
            </w:r>
          </w:p>
        </w:tc>
        <w:tc>
          <w:tcPr>
            <w:tcW w:type="dxa" w:w="3120"/>
            <w:vAlign w:val="center"/>
            <w:shd w:val="clear" w:fill="F4F6F9"/>
          </w:tcPr>
          <w:p>
            <w:pPr>
              <w:spacing w:after="40" w:before="40"/>
            </w:pPr>
            <w:r/>
            <w:r>
              <w:rPr>
                <w:rFonts w:ascii="Times New Roman" w:hAnsi="Times New Roman" w:eastAsia="宋体"/>
                <w:b/>
                <w:i w:val="0"/>
                <w:sz w:val="18"/>
              </w:rPr>
              <w:t>测量相对下降</w:t>
            </w:r>
          </w:p>
        </w:tc>
      </w:tr>
      <w:tr>
        <w:tc>
          <w:tcPr>
            <w:tcW w:type="dxa" w:w="3120"/>
            <w:vAlign w:val="center"/>
          </w:tcPr>
          <w:p>
            <w:pPr>
              <w:spacing w:after="40" w:before="40"/>
            </w:pPr>
            <w:r/>
            <w:r>
              <w:rPr>
                <w:rFonts w:ascii="Times New Roman" w:hAnsi="Times New Roman" w:eastAsia="宋体"/>
                <w:b w:val="0"/>
                <w:i w:val="0"/>
                <w:sz w:val="18"/>
              </w:rPr>
              <w:t>高斯噪声 20 dB</w:t>
            </w:r>
          </w:p>
        </w:tc>
        <w:tc>
          <w:tcPr>
            <w:tcW w:type="dxa" w:w="3120"/>
            <w:vAlign w:val="center"/>
          </w:tcPr>
          <w:p>
            <w:pPr>
              <w:spacing w:after="40" w:before="40"/>
            </w:pPr>
            <w:r/>
            <w:r>
              <w:rPr>
                <w:rFonts w:ascii="Times New Roman" w:hAnsi="Times New Roman" w:eastAsia="宋体"/>
                <w:b w:val="0"/>
                <w:i w:val="0"/>
                <w:sz w:val="18"/>
              </w:rPr>
              <w:t>−10.8%</w:t>
            </w:r>
          </w:p>
        </w:tc>
        <w:tc>
          <w:tcPr>
            <w:tcW w:type="dxa" w:w="3120"/>
            <w:vAlign w:val="center"/>
          </w:tcPr>
          <w:p>
            <w:pPr>
              <w:spacing w:after="40" w:before="40"/>
            </w:pPr>
            <w:r/>
            <w:r>
              <w:rPr>
                <w:rFonts w:ascii="Times New Roman" w:hAnsi="Times New Roman" w:eastAsia="宋体"/>
                <w:b w:val="0"/>
                <w:i w:val="0"/>
                <w:sz w:val="18"/>
              </w:rPr>
              <w:t>−12.8%</w:t>
            </w:r>
          </w:p>
        </w:tc>
      </w:tr>
      <w:tr>
        <w:tc>
          <w:tcPr>
            <w:tcW w:type="dxa" w:w="3120"/>
            <w:vAlign w:val="center"/>
          </w:tcPr>
          <w:p>
            <w:pPr>
              <w:spacing w:after="40" w:before="40"/>
            </w:pPr>
            <w:r/>
            <w:r>
              <w:rPr>
                <w:rFonts w:ascii="Times New Roman" w:hAnsi="Times New Roman" w:eastAsia="宋体"/>
                <w:b w:val="0"/>
                <w:i w:val="0"/>
                <w:sz w:val="18"/>
              </w:rPr>
              <w:t>高斯噪声 10 dB</w:t>
            </w:r>
          </w:p>
        </w:tc>
        <w:tc>
          <w:tcPr>
            <w:tcW w:type="dxa" w:w="3120"/>
            <w:vAlign w:val="center"/>
          </w:tcPr>
          <w:p>
            <w:pPr>
              <w:spacing w:after="40" w:before="40"/>
            </w:pPr>
            <w:r/>
            <w:r>
              <w:rPr>
                <w:rFonts w:ascii="Times New Roman" w:hAnsi="Times New Roman" w:eastAsia="宋体"/>
                <w:b w:val="0"/>
                <w:i w:val="0"/>
                <w:sz w:val="18"/>
              </w:rPr>
              <w:t>−49.4%</w:t>
            </w:r>
          </w:p>
        </w:tc>
        <w:tc>
          <w:tcPr>
            <w:tcW w:type="dxa" w:w="3120"/>
            <w:vAlign w:val="center"/>
          </w:tcPr>
          <w:p>
            <w:pPr>
              <w:spacing w:after="40" w:before="40"/>
            </w:pPr>
            <w:r/>
            <w:r>
              <w:rPr>
                <w:rFonts w:ascii="Times New Roman" w:hAnsi="Times New Roman" w:eastAsia="宋体"/>
                <w:b w:val="0"/>
                <w:i w:val="0"/>
                <w:sz w:val="18"/>
              </w:rPr>
              <w:t>−50.7%</w:t>
            </w:r>
          </w:p>
        </w:tc>
      </w:tr>
      <w:tr>
        <w:tc>
          <w:tcPr>
            <w:tcW w:type="dxa" w:w="3120"/>
            <w:vAlign w:val="center"/>
          </w:tcPr>
          <w:p>
            <w:pPr>
              <w:spacing w:after="40" w:before="40"/>
            </w:pPr>
            <w:r/>
            <w:r>
              <w:rPr>
                <w:rFonts w:ascii="Times New Roman" w:hAnsi="Times New Roman" w:eastAsia="宋体"/>
                <w:b w:val="0"/>
                <w:i w:val="0"/>
                <w:sz w:val="18"/>
              </w:rPr>
              <w:t>高斯噪声 5 dB</w:t>
            </w:r>
          </w:p>
        </w:tc>
        <w:tc>
          <w:tcPr>
            <w:tcW w:type="dxa" w:w="3120"/>
            <w:vAlign w:val="center"/>
          </w:tcPr>
          <w:p>
            <w:pPr>
              <w:spacing w:after="40" w:before="40"/>
            </w:pPr>
            <w:r/>
            <w:r>
              <w:rPr>
                <w:rFonts w:ascii="Times New Roman" w:hAnsi="Times New Roman" w:eastAsia="宋体"/>
                <w:b w:val="0"/>
                <w:i w:val="0"/>
                <w:sz w:val="18"/>
              </w:rPr>
              <w:t>−67.2%</w:t>
            </w:r>
          </w:p>
        </w:tc>
        <w:tc>
          <w:tcPr>
            <w:tcW w:type="dxa" w:w="3120"/>
            <w:vAlign w:val="center"/>
          </w:tcPr>
          <w:p>
            <w:pPr>
              <w:spacing w:after="40" w:before="40"/>
            </w:pPr>
            <w:r/>
            <w:r>
              <w:rPr>
                <w:rFonts w:ascii="Times New Roman" w:hAnsi="Times New Roman" w:eastAsia="宋体"/>
                <w:b w:val="0"/>
                <w:i w:val="0"/>
                <w:sz w:val="18"/>
              </w:rPr>
              <w:t>−67.5%</w:t>
            </w:r>
          </w:p>
        </w:tc>
      </w:tr>
      <w:tr>
        <w:tc>
          <w:tcPr>
            <w:tcW w:type="dxa" w:w="3120"/>
            <w:vAlign w:val="center"/>
          </w:tcPr>
          <w:p>
            <w:pPr>
              <w:spacing w:after="40" w:before="40"/>
            </w:pPr>
            <w:r/>
            <w:r>
              <w:rPr>
                <w:rFonts w:ascii="Times New Roman" w:hAnsi="Times New Roman" w:eastAsia="宋体"/>
                <w:b w:val="0"/>
                <w:i w:val="0"/>
                <w:sz w:val="18"/>
              </w:rPr>
              <w:t>幅值 ×0.8 / ×1.2</w:t>
            </w:r>
          </w:p>
        </w:tc>
        <w:tc>
          <w:tcPr>
            <w:tcW w:type="dxa" w:w="3120"/>
            <w:vAlign w:val="center"/>
          </w:tcPr>
          <w:p>
            <w:pPr>
              <w:spacing w:after="40" w:before="40"/>
            </w:pPr>
            <w:r/>
            <w:r>
              <w:rPr>
                <w:rFonts w:ascii="Times New Roman" w:hAnsi="Times New Roman" w:eastAsia="宋体"/>
                <w:b w:val="0"/>
                <w:i w:val="0"/>
                <w:sz w:val="18"/>
              </w:rPr>
              <w:t>0%</w:t>
            </w:r>
          </w:p>
        </w:tc>
        <w:tc>
          <w:tcPr>
            <w:tcW w:type="dxa" w:w="3120"/>
            <w:vAlign w:val="center"/>
          </w:tcPr>
          <w:p>
            <w:pPr>
              <w:spacing w:after="40" w:before="40"/>
            </w:pPr>
            <w:r/>
            <w:r>
              <w:rPr>
                <w:rFonts w:ascii="Times New Roman" w:hAnsi="Times New Roman" w:eastAsia="宋体"/>
                <w:b w:val="0"/>
                <w:i w:val="0"/>
                <w:sz w:val="18"/>
              </w:rPr>
              <w:t>0%</w:t>
            </w:r>
          </w:p>
        </w:tc>
      </w:tr>
      <w:tr>
        <w:tc>
          <w:tcPr>
            <w:tcW w:type="dxa" w:w="3120"/>
            <w:vAlign w:val="center"/>
          </w:tcPr>
          <w:p>
            <w:pPr>
              <w:spacing w:after="40" w:before="40"/>
            </w:pPr>
            <w:r/>
            <w:r>
              <w:rPr>
                <w:rFonts w:ascii="Times New Roman" w:hAnsi="Times New Roman" w:eastAsia="宋体"/>
                <w:b w:val="0"/>
                <w:i w:val="0"/>
                <w:sz w:val="18"/>
              </w:rPr>
              <w:t>时间偏移 −64 / +64</w:t>
            </w:r>
          </w:p>
        </w:tc>
        <w:tc>
          <w:tcPr>
            <w:tcW w:type="dxa" w:w="3120"/>
            <w:vAlign w:val="center"/>
          </w:tcPr>
          <w:p>
            <w:pPr>
              <w:spacing w:after="40" w:before="40"/>
            </w:pPr>
            <w:r/>
            <w:r>
              <w:rPr>
                <w:rFonts w:ascii="Times New Roman" w:hAnsi="Times New Roman" w:eastAsia="宋体"/>
                <w:b w:val="0"/>
                <w:i w:val="0"/>
                <w:sz w:val="18"/>
              </w:rPr>
              <w:t>−33.8% / −73.9%</w:t>
            </w:r>
          </w:p>
        </w:tc>
        <w:tc>
          <w:tcPr>
            <w:tcW w:type="dxa" w:w="3120"/>
            <w:vAlign w:val="center"/>
          </w:tcPr>
          <w:p>
            <w:pPr>
              <w:spacing w:after="40" w:before="40"/>
            </w:pPr>
            <w:r/>
            <w:r>
              <w:rPr>
                <w:rFonts w:ascii="Times New Roman" w:hAnsi="Times New Roman" w:eastAsia="宋体"/>
                <w:b w:val="0"/>
                <w:i w:val="0"/>
                <w:sz w:val="18"/>
              </w:rPr>
              <w:t>−33.6% / −74.7%</w:t>
            </w:r>
          </w:p>
        </w:tc>
      </w:tr>
      <w:tr>
        <w:tc>
          <w:tcPr>
            <w:tcW w:type="dxa" w:w="3120"/>
            <w:vAlign w:val="center"/>
          </w:tcPr>
          <w:p>
            <w:pPr>
              <w:spacing w:after="40" w:before="40"/>
            </w:pPr>
            <w:r/>
            <w:r>
              <w:rPr>
                <w:rFonts w:ascii="Times New Roman" w:hAnsi="Times New Roman" w:eastAsia="宋体"/>
                <w:b w:val="0"/>
                <w:i w:val="0"/>
                <w:sz w:val="18"/>
              </w:rPr>
              <w:t>时间偏移 −128 / +128</w:t>
            </w:r>
          </w:p>
        </w:tc>
        <w:tc>
          <w:tcPr>
            <w:tcW w:type="dxa" w:w="3120"/>
            <w:vAlign w:val="center"/>
          </w:tcPr>
          <w:p>
            <w:pPr>
              <w:spacing w:after="40" w:before="40"/>
            </w:pPr>
            <w:r/>
            <w:r>
              <w:rPr>
                <w:rFonts w:ascii="Times New Roman" w:hAnsi="Times New Roman" w:eastAsia="宋体"/>
                <w:b w:val="0"/>
                <w:i w:val="0"/>
                <w:sz w:val="18"/>
              </w:rPr>
              <w:t>−75.3% / −84.1%</w:t>
            </w:r>
          </w:p>
        </w:tc>
        <w:tc>
          <w:tcPr>
            <w:tcW w:type="dxa" w:w="3120"/>
            <w:vAlign w:val="center"/>
          </w:tcPr>
          <w:p>
            <w:pPr>
              <w:spacing w:after="40" w:before="40"/>
            </w:pPr>
            <w:r/>
            <w:r>
              <w:rPr>
                <w:rFonts w:ascii="Times New Roman" w:hAnsi="Times New Roman" w:eastAsia="宋体"/>
                <w:b w:val="0"/>
                <w:i w:val="0"/>
                <w:sz w:val="18"/>
              </w:rPr>
              <w:t>−75.8% / −83.9%</w:t>
            </w:r>
          </w:p>
        </w:tc>
      </w:tr>
      <w:tr>
        <w:tc>
          <w:tcPr>
            <w:tcW w:type="dxa" w:w="3120"/>
            <w:vAlign w:val="center"/>
          </w:tcPr>
          <w:p>
            <w:pPr>
              <w:spacing w:after="40" w:before="40"/>
            </w:pPr>
            <w:r/>
            <w:r>
              <w:rPr>
                <w:rFonts w:ascii="Times New Roman" w:hAnsi="Times New Roman" w:eastAsia="宋体"/>
                <w:b w:val="0"/>
                <w:i w:val="0"/>
                <w:sz w:val="18"/>
              </w:rPr>
              <w:t>缺失任一相</w:t>
            </w:r>
          </w:p>
        </w:tc>
        <w:tc>
          <w:tcPr>
            <w:tcW w:type="dxa" w:w="3120"/>
            <w:vAlign w:val="center"/>
          </w:tcPr>
          <w:p>
            <w:pPr>
              <w:spacing w:after="40" w:before="40"/>
            </w:pPr>
            <w:r/>
            <w:r>
              <w:rPr>
                <w:rFonts w:ascii="Times New Roman" w:hAnsi="Times New Roman" w:eastAsia="宋体"/>
                <w:b w:val="0"/>
                <w:i w:val="0"/>
                <w:sz w:val="18"/>
              </w:rPr>
              <w:t>—</w:t>
            </w:r>
          </w:p>
        </w:tc>
        <w:tc>
          <w:tcPr>
            <w:tcW w:type="dxa" w:w="3120"/>
            <w:vAlign w:val="center"/>
          </w:tcPr>
          <w:p>
            <w:pPr>
              <w:spacing w:after="40" w:before="40"/>
            </w:pPr>
            <w:r/>
            <w:r>
              <w:rPr>
                <w:rFonts w:ascii="Times New Roman" w:hAnsi="Times New Roman" w:eastAsia="宋体"/>
                <w:b w:val="0"/>
                <w:i w:val="0"/>
                <w:sz w:val="18"/>
              </w:rPr>
              <w:t>≈0%</w:t>
            </w:r>
          </w:p>
        </w:tc>
      </w:tr>
    </w:tbl>
    <w:p>
      <w:pPr>
        <w:spacing w:before="0" w:after="40"/>
      </w:pPr>
    </w:p>
    <w:p>
      <w:pPr>
        <w:spacing w:before="160" w:after="40"/>
      </w:pPr>
      <w:r>
        <w:rPr>
          <w:rFonts w:ascii="Times New Roman" w:hAnsi="Times New Roman" w:eastAsia="宋体"/>
          <w:b w:val="0"/>
          <w:i w:val="0"/>
          <w:sz w:val="18"/>
        </w:rPr>
        <w:t>表 VI-A  E4 主模型扰动鲁棒性（IR 训练检查点，80% 训练域 OOF）</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val="clear" w:fill="F4F6F9"/>
          </w:tcPr>
          <w:p>
            <w:pPr>
              <w:spacing w:after="40" w:before="40"/>
            </w:pPr>
            <w:r/>
            <w:r>
              <w:rPr>
                <w:rFonts w:ascii="Times New Roman" w:hAnsi="Times New Roman" w:eastAsia="宋体"/>
                <w:b/>
                <w:i w:val="0"/>
                <w:sz w:val="18"/>
              </w:rPr>
              <w:t>扰动</w:t>
            </w:r>
          </w:p>
        </w:tc>
        <w:tc>
          <w:tcPr>
            <w:tcW w:type="dxa" w:w="4680"/>
            <w:vAlign w:val="center"/>
            <w:shd w:val="clear" w:fill="F4F6F9"/>
          </w:tcPr>
          <w:p>
            <w:pPr>
              <w:spacing w:after="40" w:before="40"/>
            </w:pPr>
            <w:r/>
            <w:r>
              <w:rPr>
                <w:rFonts w:ascii="Times New Roman" w:hAnsi="Times New Roman" w:eastAsia="宋体"/>
                <w:b/>
                <w:i w:val="0"/>
                <w:sz w:val="18"/>
              </w:rPr>
              <w:t>相位 PR-AUC 相对下降</w:t>
            </w:r>
          </w:p>
        </w:tc>
      </w:tr>
      <w:tr>
        <w:tc>
          <w:tcPr>
            <w:tcW w:type="dxa" w:w="4680"/>
            <w:vAlign w:val="center"/>
          </w:tcPr>
          <w:p>
            <w:pPr>
              <w:spacing w:after="40" w:before="40"/>
            </w:pPr>
            <w:r/>
            <w:r>
              <w:rPr>
                <w:rFonts w:ascii="Times New Roman" w:hAnsi="Times New Roman" w:eastAsia="宋体"/>
                <w:b w:val="0"/>
                <w:i w:val="0"/>
                <w:sz w:val="18"/>
              </w:rPr>
              <w:t>高斯噪声 20 dB</w:t>
            </w:r>
          </w:p>
        </w:tc>
        <w:tc>
          <w:tcPr>
            <w:tcW w:type="dxa" w:w="4680"/>
            <w:vAlign w:val="center"/>
          </w:tcPr>
          <w:p>
            <w:pPr>
              <w:spacing w:after="40" w:before="40"/>
            </w:pPr>
            <w:r/>
            <w:r>
              <w:rPr>
                <w:rFonts w:ascii="Times New Roman" w:hAnsi="Times New Roman" w:eastAsia="宋体"/>
                <w:b w:val="0"/>
                <w:i w:val="0"/>
                <w:sz w:val="18"/>
              </w:rPr>
              <w:t>−0.2%</w:t>
            </w:r>
          </w:p>
        </w:tc>
      </w:tr>
      <w:tr>
        <w:tc>
          <w:tcPr>
            <w:tcW w:type="dxa" w:w="4680"/>
            <w:vAlign w:val="center"/>
          </w:tcPr>
          <w:p>
            <w:pPr>
              <w:spacing w:after="40" w:before="40"/>
            </w:pPr>
            <w:r/>
            <w:r>
              <w:rPr>
                <w:rFonts w:ascii="Times New Roman" w:hAnsi="Times New Roman" w:eastAsia="宋体"/>
                <w:b w:val="0"/>
                <w:i w:val="0"/>
                <w:sz w:val="18"/>
              </w:rPr>
              <w:t>高斯噪声 10 dB</w:t>
            </w:r>
          </w:p>
        </w:tc>
        <w:tc>
          <w:tcPr>
            <w:tcW w:type="dxa" w:w="4680"/>
            <w:vAlign w:val="center"/>
          </w:tcPr>
          <w:p>
            <w:pPr>
              <w:spacing w:after="40" w:before="40"/>
            </w:pPr>
            <w:r/>
            <w:r>
              <w:rPr>
                <w:rFonts w:ascii="Times New Roman" w:hAnsi="Times New Roman" w:eastAsia="宋体"/>
                <w:b w:val="0"/>
                <w:i w:val="0"/>
                <w:sz w:val="18"/>
              </w:rPr>
              <w:t>+1.9%</w:t>
            </w:r>
          </w:p>
        </w:tc>
      </w:tr>
      <w:tr>
        <w:tc>
          <w:tcPr>
            <w:tcW w:type="dxa" w:w="4680"/>
            <w:vAlign w:val="center"/>
          </w:tcPr>
          <w:p>
            <w:pPr>
              <w:spacing w:after="40" w:before="40"/>
            </w:pPr>
            <w:r/>
            <w:r>
              <w:rPr>
                <w:rFonts w:ascii="Times New Roman" w:hAnsi="Times New Roman" w:eastAsia="宋体"/>
                <w:b w:val="0"/>
                <w:i w:val="0"/>
                <w:sz w:val="18"/>
              </w:rPr>
              <w:t>高斯噪声 5 dB</w:t>
            </w:r>
          </w:p>
        </w:tc>
        <w:tc>
          <w:tcPr>
            <w:tcW w:type="dxa" w:w="4680"/>
            <w:vAlign w:val="center"/>
          </w:tcPr>
          <w:p>
            <w:pPr>
              <w:spacing w:after="40" w:before="40"/>
            </w:pPr>
            <w:r/>
            <w:r>
              <w:rPr>
                <w:rFonts w:ascii="Times New Roman" w:hAnsi="Times New Roman" w:eastAsia="宋体"/>
                <w:b w:val="0"/>
                <w:i w:val="0"/>
                <w:sz w:val="18"/>
              </w:rPr>
              <w:t>+3.7%</w:t>
            </w:r>
          </w:p>
        </w:tc>
      </w:tr>
      <w:tr>
        <w:tc>
          <w:tcPr>
            <w:tcW w:type="dxa" w:w="4680"/>
            <w:vAlign w:val="center"/>
          </w:tcPr>
          <w:p>
            <w:pPr>
              <w:spacing w:after="40" w:before="40"/>
            </w:pPr>
            <w:r/>
            <w:r>
              <w:rPr>
                <w:rFonts w:ascii="Times New Roman" w:hAnsi="Times New Roman" w:eastAsia="宋体"/>
                <w:b w:val="0"/>
                <w:i w:val="0"/>
                <w:sz w:val="18"/>
              </w:rPr>
              <w:t>幅值 ×0.8 / ×1.2</w:t>
            </w:r>
          </w:p>
        </w:tc>
        <w:tc>
          <w:tcPr>
            <w:tcW w:type="dxa" w:w="4680"/>
            <w:vAlign w:val="center"/>
          </w:tcPr>
          <w:p>
            <w:pPr>
              <w:spacing w:after="40" w:before="40"/>
            </w:pPr>
            <w:r/>
            <w:r>
              <w:rPr>
                <w:rFonts w:ascii="Times New Roman" w:hAnsi="Times New Roman" w:eastAsia="宋体"/>
                <w:b w:val="0"/>
                <w:i w:val="0"/>
                <w:sz w:val="18"/>
              </w:rPr>
              <w:t>≈0%</w:t>
            </w:r>
          </w:p>
        </w:tc>
      </w:tr>
      <w:tr>
        <w:tc>
          <w:tcPr>
            <w:tcW w:type="dxa" w:w="4680"/>
            <w:vAlign w:val="center"/>
          </w:tcPr>
          <w:p>
            <w:pPr>
              <w:spacing w:after="40" w:before="40"/>
            </w:pPr>
            <w:r/>
            <w:r>
              <w:rPr>
                <w:rFonts w:ascii="Times New Roman" w:hAnsi="Times New Roman" w:eastAsia="宋体"/>
                <w:b w:val="0"/>
                <w:i w:val="0"/>
                <w:sz w:val="18"/>
              </w:rPr>
              <w:t>时间偏移 −64 / +64</w:t>
            </w:r>
          </w:p>
        </w:tc>
        <w:tc>
          <w:tcPr>
            <w:tcW w:type="dxa" w:w="4680"/>
            <w:vAlign w:val="center"/>
          </w:tcPr>
          <w:p>
            <w:pPr>
              <w:spacing w:after="40" w:before="40"/>
            </w:pPr>
            <w:r/>
            <w:r>
              <w:rPr>
                <w:rFonts w:ascii="Times New Roman" w:hAnsi="Times New Roman" w:eastAsia="宋体"/>
                <w:b w:val="0"/>
                <w:i w:val="0"/>
                <w:sz w:val="18"/>
              </w:rPr>
              <w:t>−48.1% / −73.1%</w:t>
            </w:r>
          </w:p>
        </w:tc>
      </w:tr>
      <w:tr>
        <w:tc>
          <w:tcPr>
            <w:tcW w:type="dxa" w:w="4680"/>
            <w:vAlign w:val="center"/>
          </w:tcPr>
          <w:p>
            <w:pPr>
              <w:spacing w:after="40" w:before="40"/>
            </w:pPr>
            <w:r/>
            <w:r>
              <w:rPr>
                <w:rFonts w:ascii="Times New Roman" w:hAnsi="Times New Roman" w:eastAsia="宋体"/>
                <w:b w:val="0"/>
                <w:i w:val="0"/>
                <w:sz w:val="18"/>
              </w:rPr>
              <w:t>时间偏移 −128 / +128</w:t>
            </w:r>
          </w:p>
        </w:tc>
        <w:tc>
          <w:tcPr>
            <w:tcW w:type="dxa" w:w="4680"/>
            <w:vAlign w:val="center"/>
          </w:tcPr>
          <w:p>
            <w:pPr>
              <w:spacing w:after="40" w:before="40"/>
            </w:pPr>
            <w:r/>
            <w:r>
              <w:rPr>
                <w:rFonts w:ascii="Times New Roman" w:hAnsi="Times New Roman" w:eastAsia="宋体"/>
                <w:b w:val="0"/>
                <w:i w:val="0"/>
                <w:sz w:val="18"/>
              </w:rPr>
              <w:t>−47.4% / −71.4%</w:t>
            </w:r>
          </w:p>
        </w:tc>
      </w:tr>
      <w:tr>
        <w:tc>
          <w:tcPr>
            <w:tcW w:type="dxa" w:w="4680"/>
            <w:vAlign w:val="center"/>
          </w:tcPr>
          <w:p>
            <w:pPr>
              <w:spacing w:after="40" w:before="40"/>
            </w:pPr>
            <w:r/>
            <w:r>
              <w:rPr>
                <w:rFonts w:ascii="Times New Roman" w:hAnsi="Times New Roman" w:eastAsia="宋体"/>
                <w:b w:val="0"/>
                <w:i w:val="0"/>
                <w:sz w:val="18"/>
              </w:rPr>
              <w:t>缺失任一相（测量级）</w:t>
            </w:r>
          </w:p>
        </w:tc>
        <w:tc>
          <w:tcPr>
            <w:tcW w:type="dxa" w:w="4680"/>
            <w:vAlign w:val="center"/>
          </w:tcPr>
          <w:p>
            <w:pPr>
              <w:spacing w:after="40" w:before="40"/>
            </w:pPr>
            <w:r/>
            <w:r>
              <w:rPr>
                <w:rFonts w:ascii="Times New Roman" w:hAnsi="Times New Roman" w:eastAsia="宋体"/>
                <w:b w:val="0"/>
                <w:i w:val="0"/>
                <w:sz w:val="18"/>
              </w:rPr>
              <w:t>−1.3% ~ +0.7%</w:t>
            </w:r>
          </w:p>
        </w:tc>
      </w:tr>
    </w:tbl>
    <w:p>
      <w:pPr>
        <w:spacing w:before="0" w:after="40"/>
      </w:pPr>
    </w:p>
    <w:p>
      <w:pPr>
        <w:spacing w:before="0" w:after="120"/>
      </w:pPr>
      <w:r>
        <w:rPr>
          <w:rFonts w:ascii="Times New Roman" w:hAnsi="Times New Roman" w:eastAsia="宋体"/>
          <w:b w:val="0"/>
          <w:i w:val="0"/>
          <w:sz w:val="21"/>
        </w:rPr>
        <w:t>E4 主模型对加性噪声显著比历史主模型更鲁棒（5 dB：+3.7% vs −67.2%），与其 context-concat 交互与鲁棒标准化一致；幅值缩放与单相缺失仍不敏感。窗口时间对齐仍是最主要弱点（−47% 至 −73%，+偏移方向更差），确认表 VII 的时间偏移增强变体对主模型同样是恰当的缓解措施。</w:t>
      </w:r>
    </w:p>
    <w:p>
      <w:pPr>
        <w:spacing w:before="0" w:after="120"/>
      </w:pPr>
      <w:r>
        <w:rPr>
          <w:rFonts w:ascii="Times New Roman" w:hAnsi="Times New Roman" w:eastAsia="宋体"/>
          <w:b w:val="0"/>
          <w:i w:val="0"/>
          <w:sz w:val="21"/>
        </w:rPr>
        <w:t>绝对性能随 SNR 单调下降（相位 PR-AUC：20 dB 时 0.506，5 dB 时 0.186）。幅值缩放与单相缺失不敏感（noisy-OR 三相冗余有效）。时间偏移（以零填充固定窗口实现并重算特征）是最主要弱点，+128 时不对称下降达 −84%，表明对窗口时间对齐敏感。以随机零填充时间偏移增强（每批 ±128，仅开发集）训练的辅助变体几乎不改变未扰动性能（OOF 相位 0.581；逐折均值 0.632 ± 0.066，测量 0.652），同时将偏移下降从 34–84% 收窄至 ±3% 以内（表 VI 与 VII）：</w:t>
      </w:r>
    </w:p>
    <w:p>
      <w:pPr>
        <w:spacing w:before="160" w:after="40"/>
      </w:pPr>
      <w:r>
        <w:rPr>
          <w:rFonts w:ascii="Times New Roman" w:hAnsi="Times New Roman" w:eastAsia="宋体"/>
          <w:b w:val="0"/>
          <w:i w:val="0"/>
          <w:sz w:val="18"/>
        </w:rPr>
        <w:t>表 VII  时间偏移增强变体（开发集 OOF，相位 PR-AUC 相对下降）</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时间偏移</w:t>
            </w:r>
          </w:p>
        </w:tc>
        <w:tc>
          <w:tcPr>
            <w:tcW w:type="dxa" w:w="3120"/>
            <w:vAlign w:val="center"/>
            <w:shd w:val="clear" w:fill="F4F6F9"/>
          </w:tcPr>
          <w:p>
            <w:pPr>
              <w:spacing w:after="40" w:before="40"/>
            </w:pPr>
            <w:r/>
            <w:r>
              <w:rPr>
                <w:rFonts w:ascii="Times New Roman" w:hAnsi="Times New Roman" w:eastAsia="宋体"/>
                <w:b/>
                <w:i w:val="0"/>
                <w:sz w:val="18"/>
              </w:rPr>
              <w:t>主模型相位下降</w:t>
            </w:r>
          </w:p>
        </w:tc>
        <w:tc>
          <w:tcPr>
            <w:tcW w:type="dxa" w:w="3120"/>
            <w:vAlign w:val="center"/>
            <w:shd w:val="clear" w:fill="F4F6F9"/>
          </w:tcPr>
          <w:p>
            <w:pPr>
              <w:spacing w:after="40" w:before="40"/>
            </w:pPr>
            <w:r/>
            <w:r>
              <w:rPr>
                <w:rFonts w:ascii="Times New Roman" w:hAnsi="Times New Roman" w:eastAsia="宋体"/>
                <w:b/>
                <w:i w:val="0"/>
                <w:sz w:val="18"/>
              </w:rPr>
              <w:t>增强变体相位下降</w:t>
            </w:r>
          </w:p>
        </w:tc>
      </w:tr>
      <w:tr>
        <w:tc>
          <w:tcPr>
            <w:tcW w:type="dxa" w:w="3120"/>
            <w:vAlign w:val="center"/>
          </w:tcPr>
          <w:p>
            <w:pPr>
              <w:spacing w:after="40" w:before="40"/>
            </w:pPr>
            <w:r/>
            <w:r>
              <w:rPr>
                <w:rFonts w:ascii="Times New Roman" w:hAnsi="Times New Roman" w:eastAsia="宋体"/>
                <w:b w:val="0"/>
                <w:i w:val="0"/>
                <w:sz w:val="18"/>
              </w:rPr>
              <w:t>−128</w:t>
            </w:r>
          </w:p>
        </w:tc>
        <w:tc>
          <w:tcPr>
            <w:tcW w:type="dxa" w:w="3120"/>
            <w:vAlign w:val="center"/>
          </w:tcPr>
          <w:p>
            <w:pPr>
              <w:spacing w:after="40" w:before="40"/>
            </w:pPr>
            <w:r/>
            <w:r>
              <w:rPr>
                <w:rFonts w:ascii="Times New Roman" w:hAnsi="Times New Roman" w:eastAsia="宋体"/>
                <w:b w:val="0"/>
                <w:i w:val="0"/>
                <w:sz w:val="18"/>
              </w:rPr>
              <w:t>−75.3%</w:t>
            </w:r>
          </w:p>
        </w:tc>
        <w:tc>
          <w:tcPr>
            <w:tcW w:type="dxa" w:w="3120"/>
            <w:vAlign w:val="center"/>
          </w:tcPr>
          <w:p>
            <w:pPr>
              <w:spacing w:after="40" w:before="40"/>
            </w:pPr>
            <w:r/>
            <w:r>
              <w:rPr>
                <w:rFonts w:ascii="Times New Roman" w:hAnsi="Times New Roman" w:eastAsia="宋体"/>
                <w:b w:val="0"/>
                <w:i w:val="0"/>
                <w:sz w:val="18"/>
              </w:rPr>
              <w:t>−1.0%</w:t>
            </w:r>
          </w:p>
        </w:tc>
      </w:tr>
      <w:tr>
        <w:tc>
          <w:tcPr>
            <w:tcW w:type="dxa" w:w="3120"/>
            <w:vAlign w:val="center"/>
          </w:tcPr>
          <w:p>
            <w:pPr>
              <w:spacing w:after="40" w:before="40"/>
            </w:pPr>
            <w:r/>
            <w:r>
              <w:rPr>
                <w:rFonts w:ascii="Times New Roman" w:hAnsi="Times New Roman" w:eastAsia="宋体"/>
                <w:b w:val="0"/>
                <w:i w:val="0"/>
                <w:sz w:val="18"/>
              </w:rPr>
              <w:t>−64</w:t>
            </w:r>
          </w:p>
        </w:tc>
        <w:tc>
          <w:tcPr>
            <w:tcW w:type="dxa" w:w="3120"/>
            <w:vAlign w:val="center"/>
          </w:tcPr>
          <w:p>
            <w:pPr>
              <w:spacing w:after="40" w:before="40"/>
            </w:pPr>
            <w:r/>
            <w:r>
              <w:rPr>
                <w:rFonts w:ascii="Times New Roman" w:hAnsi="Times New Roman" w:eastAsia="宋体"/>
                <w:b w:val="0"/>
                <w:i w:val="0"/>
                <w:sz w:val="18"/>
              </w:rPr>
              <w:t>−33.8%</w:t>
            </w:r>
          </w:p>
        </w:tc>
        <w:tc>
          <w:tcPr>
            <w:tcW w:type="dxa" w:w="3120"/>
            <w:vAlign w:val="center"/>
          </w:tcPr>
          <w:p>
            <w:pPr>
              <w:spacing w:after="40" w:before="40"/>
            </w:pPr>
            <w:r/>
            <w:r>
              <w:rPr>
                <w:rFonts w:ascii="Times New Roman" w:hAnsi="Times New Roman" w:eastAsia="宋体"/>
                <w:b w:val="0"/>
                <w:i w:val="0"/>
                <w:sz w:val="18"/>
              </w:rPr>
              <w:t>−2.6%</w:t>
            </w:r>
          </w:p>
        </w:tc>
      </w:tr>
      <w:tr>
        <w:tc>
          <w:tcPr>
            <w:tcW w:type="dxa" w:w="3120"/>
            <w:vAlign w:val="center"/>
          </w:tcPr>
          <w:p>
            <w:pPr>
              <w:spacing w:after="40" w:before="40"/>
            </w:pPr>
            <w:r/>
            <w:r>
              <w:rPr>
                <w:rFonts w:ascii="Times New Roman" w:hAnsi="Times New Roman" w:eastAsia="宋体"/>
                <w:b w:val="0"/>
                <w:i w:val="0"/>
                <w:sz w:val="18"/>
              </w:rPr>
              <w:t>+64</w:t>
            </w:r>
          </w:p>
        </w:tc>
        <w:tc>
          <w:tcPr>
            <w:tcW w:type="dxa" w:w="3120"/>
            <w:vAlign w:val="center"/>
          </w:tcPr>
          <w:p>
            <w:pPr>
              <w:spacing w:after="40" w:before="40"/>
            </w:pPr>
            <w:r/>
            <w:r>
              <w:rPr>
                <w:rFonts w:ascii="Times New Roman" w:hAnsi="Times New Roman" w:eastAsia="宋体"/>
                <w:b w:val="0"/>
                <w:i w:val="0"/>
                <w:sz w:val="18"/>
              </w:rPr>
              <w:t>−73.9%</w:t>
            </w:r>
          </w:p>
        </w:tc>
        <w:tc>
          <w:tcPr>
            <w:tcW w:type="dxa" w:w="3120"/>
            <w:vAlign w:val="center"/>
          </w:tcPr>
          <w:p>
            <w:pPr>
              <w:spacing w:after="40" w:before="40"/>
            </w:pPr>
            <w:r/>
            <w:r>
              <w:rPr>
                <w:rFonts w:ascii="Times New Roman" w:hAnsi="Times New Roman" w:eastAsia="宋体"/>
                <w:b w:val="0"/>
                <w:i w:val="0"/>
                <w:sz w:val="18"/>
              </w:rPr>
              <w:t>−2.6%</w:t>
            </w:r>
          </w:p>
        </w:tc>
      </w:tr>
      <w:tr>
        <w:tc>
          <w:tcPr>
            <w:tcW w:type="dxa" w:w="3120"/>
            <w:vAlign w:val="center"/>
          </w:tcPr>
          <w:p>
            <w:pPr>
              <w:spacing w:after="40" w:before="40"/>
            </w:pPr>
            <w:r/>
            <w:r>
              <w:rPr>
                <w:rFonts w:ascii="Times New Roman" w:hAnsi="Times New Roman" w:eastAsia="宋体"/>
                <w:b w:val="0"/>
                <w:i w:val="0"/>
                <w:sz w:val="18"/>
              </w:rPr>
              <w:t>+128</w:t>
            </w:r>
          </w:p>
        </w:tc>
        <w:tc>
          <w:tcPr>
            <w:tcW w:type="dxa" w:w="3120"/>
            <w:vAlign w:val="center"/>
          </w:tcPr>
          <w:p>
            <w:pPr>
              <w:spacing w:after="40" w:before="40"/>
            </w:pPr>
            <w:r/>
            <w:r>
              <w:rPr>
                <w:rFonts w:ascii="Times New Roman" w:hAnsi="Times New Roman" w:eastAsia="宋体"/>
                <w:b w:val="0"/>
                <w:i w:val="0"/>
                <w:sz w:val="18"/>
              </w:rPr>
              <w:t>−84.1%</w:t>
            </w:r>
          </w:p>
        </w:tc>
        <w:tc>
          <w:tcPr>
            <w:tcW w:type="dxa" w:w="3120"/>
            <w:vAlign w:val="center"/>
          </w:tcPr>
          <w:p>
            <w:pPr>
              <w:spacing w:after="40" w:before="40"/>
            </w:pPr>
            <w:r/>
            <w:r>
              <w:rPr>
                <w:rFonts w:ascii="Times New Roman" w:hAnsi="Times New Roman" w:eastAsia="宋体"/>
                <w:b w:val="0"/>
                <w:i w:val="0"/>
                <w:sz w:val="18"/>
              </w:rPr>
              <w:t>−0.3%</w:t>
            </w:r>
          </w:p>
        </w:tc>
      </w:tr>
    </w:tbl>
    <w:p>
      <w:pPr>
        <w:spacing w:before="0" w:after="40"/>
      </w:pPr>
    </w:p>
    <w:p>
      <w:pPr>
        <w:spacing w:before="0" w:after="120"/>
      </w:pPr>
      <w:r>
        <w:rPr>
          <w:rFonts w:ascii="Times New Roman" w:hAnsi="Times New Roman" w:eastAsia="宋体"/>
          <w:b w:val="0"/>
          <w:i w:val="0"/>
          <w:sz w:val="21"/>
        </w:rPr>
        <w:t>增强变体不进入盲测。扰动结果见图 7。</w:t>
      </w:r>
    </w:p>
    <w:p>
      <w:pPr>
        <w:keepNext/>
        <w:spacing w:before="240" w:after="160"/>
      </w:pPr>
      <w:r>
        <w:rPr>
          <w:rFonts w:ascii="Times New Roman" w:hAnsi="Times New Roman" w:eastAsia="黑体"/>
          <w:b/>
          <w:i w:val="0"/>
          <w:color w:val="1F4D78"/>
          <w:sz w:val="24"/>
        </w:rPr>
        <w:t>G. 受控采样实验：信息选择作为设计变量</w:t>
      </w:r>
    </w:p>
    <w:p>
      <w:pPr>
        <w:jc w:val="center"/>
      </w:pPr>
      <w:r>
        <w:drawing>
          <wp:inline xmlns:a="http://schemas.openxmlformats.org/drawingml/2006/main" xmlns:pic="http://schemas.openxmlformats.org/drawingml/2006/picture">
            <wp:extent cx="5029200" cy="1405399"/>
            <wp:docPr id="9" name="Picture 9"/>
            <wp:cNvGraphicFramePr>
              <a:graphicFrameLocks noChangeAspect="1"/>
            </wp:cNvGraphicFramePr>
            <a:graphic>
              <a:graphicData uri="http://schemas.openxmlformats.org/drawingml/2006/picture">
                <pic:pic>
                  <pic:nvPicPr>
                    <pic:cNvPr id="0" name="fig9_sampling_policy.png"/>
                    <pic:cNvPicPr/>
                  </pic:nvPicPr>
                  <pic:blipFill>
                    <a:blip r:embed="rId17"/>
                    <a:stretch>
                      <a:fillRect/>
                    </a:stretch>
                  </pic:blipFill>
                  <pic:spPr>
                    <a:xfrm>
                      <a:off x="0" y="0"/>
                      <a:ext cx="5029200" cy="1405399"/>
                    </a:xfrm>
                    <a:prstGeom prst="rect"/>
                  </pic:spPr>
                </pic:pic>
              </a:graphicData>
            </a:graphic>
          </wp:inline>
        </w:drawing>
      </w:r>
    </w:p>
    <w:p>
      <w:pPr>
        <w:jc w:val="center"/>
      </w:pPr>
      <w:r>
        <w:rPr>
          <w:rFonts w:ascii="Times New Roman" w:hAnsi="Times New Roman" w:eastAsia="宋体"/>
          <w:b w:val="0"/>
          <w:i/>
          <w:color w:val="555555"/>
          <w:sz w:val="18"/>
        </w:rPr>
        <w:t>图 9 受控采样实验：策略性能与成本对比</w:t>
      </w:r>
    </w:p>
    <w:p>
      <w:pPr>
        <w:spacing w:before="0" w:after="120"/>
      </w:pPr>
      <w:r>
        <w:rPr>
          <w:rFonts w:ascii="Times New Roman" w:hAnsi="Times New Roman" w:eastAsia="宋体"/>
          <w:b w:val="0"/>
          <w:i w:val="0"/>
          <w:sz w:val="21"/>
        </w:rPr>
        <w:t>为将信息选择与模型结构解耦，固定架构（CNN 编码器 → 注意力 MIL → context-concat → 相位分类器，相位级 BCE，同协议），仅改变采样策略：均匀 K=8、事件 K=8、随机 K=8、混合 K=8（主模型）与全信号（K=1，L=800,000，因显存批大小 8；K=8 行批大小 64）。所有策略共享相同测量顺序与折叠指纹，因此逐折指标与配对聚类 bootstrap 可直接比较。</w:t>
      </w:r>
    </w:p>
    <w:p>
      <w:pPr>
        <w:spacing w:before="160" w:after="40"/>
      </w:pPr>
      <w:r>
        <w:rPr>
          <w:rFonts w:ascii="Times New Roman" w:hAnsi="Times New Roman" w:eastAsia="宋体"/>
          <w:b w:val="0"/>
          <w:i w:val="0"/>
          <w:sz w:val="18"/>
        </w:rPr>
        <w:t>表 VIII  受控采样实验（固定架构，seed 42）</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vAlign w:val="center"/>
            <w:shd w:val="clear" w:fill="F4F6F9"/>
          </w:tcPr>
          <w:p>
            <w:pPr>
              <w:spacing w:after="40" w:before="40"/>
            </w:pPr>
            <w:r/>
            <w:r>
              <w:rPr>
                <w:rFonts w:ascii="Times New Roman" w:hAnsi="Times New Roman" w:eastAsia="宋体"/>
                <w:b/>
                <w:i w:val="0"/>
                <w:sz w:val="18"/>
              </w:rPr>
              <w:t>策略</w:t>
            </w:r>
          </w:p>
        </w:tc>
        <w:tc>
          <w:tcPr>
            <w:tcW w:type="dxa" w:w="720"/>
            <w:vAlign w:val="center"/>
            <w:shd w:val="clear" w:fill="F4F6F9"/>
          </w:tcPr>
          <w:p>
            <w:pPr>
              <w:spacing w:after="40" w:before="40"/>
            </w:pPr>
            <w:r/>
            <w:r>
              <w:rPr>
                <w:rFonts w:ascii="Times New Roman" w:hAnsi="Times New Roman" w:eastAsia="宋体"/>
                <w:b/>
                <w:i w:val="0"/>
                <w:sz w:val="18"/>
              </w:rPr>
              <w:t>K</w:t>
            </w:r>
          </w:p>
        </w:tc>
        <w:tc>
          <w:tcPr>
            <w:tcW w:type="dxa" w:w="720"/>
            <w:vAlign w:val="center"/>
            <w:shd w:val="clear" w:fill="F4F6F9"/>
          </w:tcPr>
          <w:p>
            <w:pPr>
              <w:spacing w:after="40" w:before="40"/>
            </w:pPr>
            <w:r/>
            <w:r>
              <w:rPr>
                <w:rFonts w:ascii="Times New Roman" w:hAnsi="Times New Roman" w:eastAsia="宋体"/>
                <w:b/>
                <w:i w:val="0"/>
                <w:sz w:val="18"/>
              </w:rPr>
              <w:t>数据使用</w:t>
            </w:r>
          </w:p>
        </w:tc>
        <w:tc>
          <w:tcPr>
            <w:tcW w:type="dxa" w:w="720"/>
            <w:vAlign w:val="center"/>
            <w:shd w:val="clear" w:fill="F4F6F9"/>
          </w:tcPr>
          <w:p>
            <w:pPr>
              <w:spacing w:after="40" w:before="40"/>
            </w:pPr>
            <w:r/>
            <w:r>
              <w:rPr>
                <w:rFonts w:ascii="Times New Roman" w:hAnsi="Times New Roman" w:eastAsia="宋体"/>
                <w:b/>
                <w:i w:val="0"/>
                <w:sz w:val="18"/>
              </w:rPr>
              <w:t>相位 PR-AUC</w:t>
            </w:r>
          </w:p>
        </w:tc>
        <w:tc>
          <w:tcPr>
            <w:tcW w:type="dxa" w:w="720"/>
            <w:vAlign w:val="center"/>
            <w:shd w:val="clear" w:fill="F4F6F9"/>
          </w:tcPr>
          <w:p>
            <w:pPr>
              <w:spacing w:after="40" w:before="40"/>
            </w:pPr>
            <w:r/>
            <w:r>
              <w:rPr>
                <w:rFonts w:ascii="Times New Roman" w:hAnsi="Times New Roman" w:eastAsia="宋体"/>
                <w:b/>
                <w:i w:val="0"/>
                <w:sz w:val="18"/>
              </w:rPr>
              <w:t>测量 PR-AUC</w:t>
            </w:r>
          </w:p>
        </w:tc>
        <w:tc>
          <w:tcPr>
            <w:tcW w:type="dxa" w:w="720"/>
            <w:vAlign w:val="center"/>
            <w:shd w:val="clear" w:fill="F4F6F9"/>
          </w:tcPr>
          <w:p>
            <w:pPr>
              <w:spacing w:after="40" w:before="40"/>
            </w:pPr>
            <w:r/>
            <w:r>
              <w:rPr>
                <w:rFonts w:ascii="Times New Roman" w:hAnsi="Times New Roman" w:eastAsia="宋体"/>
                <w:b/>
                <w:i w:val="0"/>
                <w:sz w:val="18"/>
              </w:rPr>
              <w:t>相位 ROC</w:t>
            </w:r>
          </w:p>
        </w:tc>
        <w:tc>
          <w:tcPr>
            <w:tcW w:type="dxa" w:w="720"/>
            <w:vAlign w:val="center"/>
            <w:shd w:val="clear" w:fill="F4F6F9"/>
          </w:tcPr>
          <w:p>
            <w:pPr>
              <w:spacing w:after="40" w:before="40"/>
            </w:pPr>
            <w:r/>
            <w:r>
              <w:rPr>
                <w:rFonts w:ascii="Times New Roman" w:hAnsi="Times New Roman" w:eastAsia="宋体"/>
                <w:b/>
                <w:i w:val="0"/>
                <w:sz w:val="18"/>
              </w:rPr>
              <w:t>测量 ROC</w:t>
            </w:r>
          </w:p>
        </w:tc>
        <w:tc>
          <w:tcPr>
            <w:tcW w:type="dxa" w:w="720"/>
            <w:vAlign w:val="center"/>
            <w:shd w:val="clear" w:fill="F4F6F9"/>
          </w:tcPr>
          <w:p>
            <w:pPr>
              <w:spacing w:after="40" w:before="40"/>
            </w:pPr>
            <w:r/>
            <w:r>
              <w:rPr>
                <w:rFonts w:ascii="Times New Roman" w:hAnsi="Times New Roman" w:eastAsia="宋体"/>
                <w:b/>
                <w:i w:val="0"/>
                <w:sz w:val="18"/>
              </w:rPr>
              <w:t>相位 MCC</w:t>
            </w:r>
          </w:p>
        </w:tc>
        <w:tc>
          <w:tcPr>
            <w:tcW w:type="dxa" w:w="720"/>
            <w:vAlign w:val="center"/>
            <w:shd w:val="clear" w:fill="F4F6F9"/>
          </w:tcPr>
          <w:p>
            <w:pPr>
              <w:spacing w:after="40" w:before="40"/>
            </w:pPr>
            <w:r/>
            <w:r>
              <w:rPr>
                <w:rFonts w:ascii="Times New Roman" w:hAnsi="Times New Roman" w:eastAsia="宋体"/>
                <w:b/>
                <w:i w:val="0"/>
                <w:sz w:val="18"/>
              </w:rPr>
              <w:t>测量 MCC</w:t>
            </w:r>
          </w:p>
        </w:tc>
        <w:tc>
          <w:tcPr>
            <w:tcW w:type="dxa" w:w="720"/>
            <w:vAlign w:val="center"/>
            <w:shd w:val="clear" w:fill="F4F6F9"/>
          </w:tcPr>
          <w:p>
            <w:pPr>
              <w:spacing w:after="40" w:before="40"/>
            </w:pPr>
            <w:r/>
            <w:r>
              <w:rPr>
                <w:rFonts w:ascii="Times New Roman" w:hAnsi="Times New Roman" w:eastAsia="宋体"/>
                <w:b/>
                <w:i w:val="0"/>
                <w:sz w:val="18"/>
              </w:rPr>
              <w:t>MACs/测量</w:t>
            </w:r>
          </w:p>
        </w:tc>
        <w:tc>
          <w:tcPr>
            <w:tcW w:type="dxa" w:w="720"/>
            <w:vAlign w:val="center"/>
            <w:shd w:val="clear" w:fill="F4F6F9"/>
          </w:tcPr>
          <w:p>
            <w:pPr>
              <w:spacing w:after="40" w:before="40"/>
            </w:pPr>
            <w:r/>
            <w:r>
              <w:rPr>
                <w:rFonts w:ascii="Times New Roman" w:hAnsi="Times New Roman" w:eastAsia="宋体"/>
                <w:b/>
                <w:i w:val="0"/>
                <w:sz w:val="18"/>
              </w:rPr>
              <w:t>GPU b1 (ms)</w:t>
            </w:r>
          </w:p>
        </w:tc>
        <w:tc>
          <w:tcPr>
            <w:tcW w:type="dxa" w:w="720"/>
            <w:vAlign w:val="center"/>
            <w:shd w:val="clear" w:fill="F4F6F9"/>
          </w:tcPr>
          <w:p>
            <w:pPr>
              <w:spacing w:after="40" w:before="40"/>
            </w:pPr>
            <w:r/>
            <w:r>
              <w:rPr>
                <w:rFonts w:ascii="Times New Roman" w:hAnsi="Times New Roman" w:eastAsia="宋体"/>
                <w:b/>
                <w:i w:val="0"/>
                <w:sz w:val="18"/>
              </w:rPr>
              <w:t>CPU b1 (ms)</w:t>
            </w:r>
          </w:p>
        </w:tc>
        <w:tc>
          <w:tcPr>
            <w:tcW w:type="dxa" w:w="720"/>
            <w:vAlign w:val="center"/>
            <w:shd w:val="clear" w:fill="F4F6F9"/>
          </w:tcPr>
          <w:p>
            <w:pPr>
              <w:spacing w:after="40" w:before="40"/>
            </w:pPr>
            <w:r/>
            <w:r>
              <w:rPr>
                <w:rFonts w:ascii="Times New Roman" w:hAnsi="Times New Roman" w:eastAsia="宋体"/>
                <w:b/>
                <w:i w:val="0"/>
                <w:sz w:val="18"/>
              </w:rPr>
              <w:t>峰值显存 (MB)</w:t>
            </w:r>
          </w:p>
        </w:tc>
      </w:tr>
      <w:tr>
        <w:tc>
          <w:tcPr>
            <w:tcW w:type="dxa" w:w="720"/>
            <w:vAlign w:val="center"/>
          </w:tcPr>
          <w:p>
            <w:pPr>
              <w:spacing w:after="40" w:before="40"/>
            </w:pPr>
            <w:r/>
            <w:r>
              <w:rPr>
                <w:rFonts w:ascii="Times New Roman" w:hAnsi="Times New Roman" w:eastAsia="宋体"/>
                <w:b w:val="0"/>
                <w:i w:val="0"/>
                <w:sz w:val="18"/>
              </w:rPr>
              <w:t>uniform_k8</w:t>
            </w:r>
          </w:p>
        </w:tc>
        <w:tc>
          <w:tcPr>
            <w:tcW w:type="dxa" w:w="720"/>
            <w:vAlign w:val="center"/>
          </w:tcPr>
          <w:p>
            <w:pPr>
              <w:spacing w:after="40" w:before="40"/>
            </w:pPr>
            <w:r/>
            <w:r>
              <w:rPr>
                <w:rFonts w:ascii="Times New Roman" w:hAnsi="Times New Roman" w:eastAsia="宋体"/>
                <w:b w:val="0"/>
                <w:i w:val="0"/>
                <w:sz w:val="18"/>
              </w:rPr>
              <w:t>8</w:t>
            </w:r>
          </w:p>
        </w:tc>
        <w:tc>
          <w:tcPr>
            <w:tcW w:type="dxa" w:w="720"/>
            <w:vAlign w:val="center"/>
          </w:tcPr>
          <w:p>
            <w:pPr>
              <w:spacing w:after="40" w:before="40"/>
            </w:pPr>
            <w:r/>
            <w:r>
              <w:rPr>
                <w:rFonts w:ascii="Times New Roman" w:hAnsi="Times New Roman" w:eastAsia="宋体"/>
                <w:b w:val="0"/>
                <w:i w:val="0"/>
                <w:sz w:val="18"/>
              </w:rPr>
              <w:t>8.2%</w:t>
            </w:r>
          </w:p>
        </w:tc>
        <w:tc>
          <w:tcPr>
            <w:tcW w:type="dxa" w:w="720"/>
            <w:vAlign w:val="center"/>
          </w:tcPr>
          <w:p>
            <w:pPr>
              <w:spacing w:after="40" w:before="40"/>
            </w:pPr>
            <w:r/>
            <w:r>
              <w:rPr>
                <w:rFonts w:ascii="Times New Roman" w:hAnsi="Times New Roman" w:eastAsia="宋体"/>
                <w:b w:val="0"/>
                <w:i w:val="0"/>
                <w:sz w:val="18"/>
              </w:rPr>
              <w:t>0.513 ± 0.130</w:t>
            </w:r>
          </w:p>
        </w:tc>
        <w:tc>
          <w:tcPr>
            <w:tcW w:type="dxa" w:w="720"/>
            <w:vAlign w:val="center"/>
          </w:tcPr>
          <w:p>
            <w:pPr>
              <w:spacing w:after="40" w:before="40"/>
            </w:pPr>
            <w:r/>
            <w:r>
              <w:rPr>
                <w:rFonts w:ascii="Times New Roman" w:hAnsi="Times New Roman" w:eastAsia="宋体"/>
                <w:b w:val="0"/>
                <w:i w:val="0"/>
                <w:sz w:val="18"/>
              </w:rPr>
              <w:t>0.537 ± 0.132</w:t>
            </w:r>
          </w:p>
        </w:tc>
        <w:tc>
          <w:tcPr>
            <w:tcW w:type="dxa" w:w="720"/>
            <w:vAlign w:val="center"/>
          </w:tcPr>
          <w:p>
            <w:pPr>
              <w:spacing w:after="40" w:before="40"/>
            </w:pPr>
            <w:r/>
            <w:r>
              <w:rPr>
                <w:rFonts w:ascii="Times New Roman" w:hAnsi="Times New Roman" w:eastAsia="宋体"/>
                <w:b w:val="0"/>
                <w:i w:val="0"/>
                <w:sz w:val="18"/>
              </w:rPr>
              <w:t>0.920</w:t>
            </w:r>
          </w:p>
        </w:tc>
        <w:tc>
          <w:tcPr>
            <w:tcW w:type="dxa" w:w="720"/>
            <w:vAlign w:val="center"/>
          </w:tcPr>
          <w:p>
            <w:pPr>
              <w:spacing w:after="40" w:before="40"/>
            </w:pPr>
            <w:r/>
            <w:r>
              <w:rPr>
                <w:rFonts w:ascii="Times New Roman" w:hAnsi="Times New Roman" w:eastAsia="宋体"/>
                <w:b w:val="0"/>
                <w:i w:val="0"/>
                <w:sz w:val="18"/>
              </w:rPr>
              <w:t>0.916</w:t>
            </w:r>
          </w:p>
        </w:tc>
        <w:tc>
          <w:tcPr>
            <w:tcW w:type="dxa" w:w="720"/>
            <w:vAlign w:val="center"/>
          </w:tcPr>
          <w:p>
            <w:pPr>
              <w:spacing w:after="40" w:before="40"/>
            </w:pPr>
            <w:r/>
            <w:r>
              <w:rPr>
                <w:rFonts w:ascii="Times New Roman" w:hAnsi="Times New Roman" w:eastAsia="宋体"/>
                <w:b w:val="0"/>
                <w:i w:val="0"/>
                <w:sz w:val="18"/>
              </w:rPr>
              <w:t>0.522</w:t>
            </w:r>
          </w:p>
        </w:tc>
        <w:tc>
          <w:tcPr>
            <w:tcW w:type="dxa" w:w="720"/>
            <w:vAlign w:val="center"/>
          </w:tcPr>
          <w:p>
            <w:pPr>
              <w:spacing w:after="40" w:before="40"/>
            </w:pPr>
            <w:r/>
            <w:r>
              <w:rPr>
                <w:rFonts w:ascii="Times New Roman" w:hAnsi="Times New Roman" w:eastAsia="宋体"/>
                <w:b w:val="0"/>
                <w:i w:val="0"/>
                <w:sz w:val="18"/>
              </w:rPr>
              <w:t>0.532</w:t>
            </w:r>
          </w:p>
        </w:tc>
        <w:tc>
          <w:tcPr>
            <w:tcW w:type="dxa" w:w="720"/>
            <w:vAlign w:val="center"/>
          </w:tcPr>
          <w:p>
            <w:pPr>
              <w:spacing w:after="40" w:before="40"/>
            </w:pPr>
            <w:r/>
            <w:r>
              <w:rPr>
                <w:rFonts w:ascii="Times New Roman" w:hAnsi="Times New Roman" w:eastAsia="宋体"/>
                <w:b w:val="0"/>
                <w:i w:val="0"/>
                <w:sz w:val="18"/>
              </w:rPr>
              <w:t>62.8M</w:t>
            </w:r>
          </w:p>
        </w:tc>
        <w:tc>
          <w:tcPr>
            <w:tcW w:type="dxa" w:w="720"/>
            <w:vAlign w:val="center"/>
          </w:tcPr>
          <w:p>
            <w:pPr>
              <w:spacing w:after="40" w:before="40"/>
            </w:pPr>
            <w:r/>
            <w:r>
              <w:rPr>
                <w:rFonts w:ascii="Times New Roman" w:hAnsi="Times New Roman" w:eastAsia="宋体"/>
                <w:b w:val="0"/>
                <w:i w:val="0"/>
                <w:sz w:val="18"/>
              </w:rPr>
              <w:t>6.49</w:t>
            </w:r>
          </w:p>
        </w:tc>
        <w:tc>
          <w:tcPr>
            <w:tcW w:type="dxa" w:w="720"/>
            <w:vAlign w:val="center"/>
          </w:tcPr>
          <w:p>
            <w:pPr>
              <w:spacing w:after="40" w:before="40"/>
            </w:pPr>
            <w:r/>
            <w:r>
              <w:rPr>
                <w:rFonts w:ascii="Times New Roman" w:hAnsi="Times New Roman" w:eastAsia="宋体"/>
                <w:b w:val="0"/>
                <w:i w:val="0"/>
                <w:sz w:val="18"/>
              </w:rPr>
              <w:t>21.17</w:t>
            </w:r>
          </w:p>
        </w:tc>
        <w:tc>
          <w:tcPr>
            <w:tcW w:type="dxa" w:w="720"/>
            <w:vAlign w:val="center"/>
          </w:tcPr>
          <w:p>
            <w:pPr>
              <w:spacing w:after="40" w:before="40"/>
            </w:pPr>
            <w:r/>
            <w:r>
              <w:rPr>
                <w:rFonts w:ascii="Times New Roman" w:hAnsi="Times New Roman" w:eastAsia="宋体"/>
                <w:b w:val="0"/>
                <w:i w:val="0"/>
                <w:sz w:val="18"/>
              </w:rPr>
              <w:t>92.4</w:t>
            </w:r>
          </w:p>
        </w:tc>
      </w:tr>
      <w:tr>
        <w:tc>
          <w:tcPr>
            <w:tcW w:type="dxa" w:w="720"/>
            <w:vAlign w:val="center"/>
          </w:tcPr>
          <w:p>
            <w:pPr>
              <w:spacing w:after="40" w:before="40"/>
            </w:pPr>
            <w:r/>
            <w:r>
              <w:rPr>
                <w:rFonts w:ascii="Times New Roman" w:hAnsi="Times New Roman" w:eastAsia="宋体"/>
                <w:b w:val="0"/>
                <w:i w:val="0"/>
                <w:sz w:val="18"/>
              </w:rPr>
              <w:t>event_k8</w:t>
            </w:r>
          </w:p>
        </w:tc>
        <w:tc>
          <w:tcPr>
            <w:tcW w:type="dxa" w:w="720"/>
            <w:vAlign w:val="center"/>
          </w:tcPr>
          <w:p>
            <w:pPr>
              <w:spacing w:after="40" w:before="40"/>
            </w:pPr>
            <w:r/>
            <w:r>
              <w:rPr>
                <w:rFonts w:ascii="Times New Roman" w:hAnsi="Times New Roman" w:eastAsia="宋体"/>
                <w:b w:val="0"/>
                <w:i w:val="0"/>
                <w:sz w:val="18"/>
              </w:rPr>
              <w:t>8</w:t>
            </w:r>
          </w:p>
        </w:tc>
        <w:tc>
          <w:tcPr>
            <w:tcW w:type="dxa" w:w="720"/>
            <w:vAlign w:val="center"/>
          </w:tcPr>
          <w:p>
            <w:pPr>
              <w:spacing w:after="40" w:before="40"/>
            </w:pPr>
            <w:r/>
            <w:r>
              <w:rPr>
                <w:rFonts w:ascii="Times New Roman" w:hAnsi="Times New Roman" w:eastAsia="宋体"/>
                <w:b w:val="0"/>
                <w:i w:val="0"/>
                <w:sz w:val="18"/>
              </w:rPr>
              <w:t>8.2%</w:t>
            </w:r>
          </w:p>
        </w:tc>
        <w:tc>
          <w:tcPr>
            <w:tcW w:type="dxa" w:w="720"/>
            <w:vAlign w:val="center"/>
          </w:tcPr>
          <w:p>
            <w:pPr>
              <w:spacing w:after="40" w:before="40"/>
            </w:pPr>
            <w:r/>
            <w:r>
              <w:rPr>
                <w:rFonts w:ascii="Times New Roman" w:hAnsi="Times New Roman" w:eastAsia="宋体"/>
                <w:b w:val="0"/>
                <w:i w:val="0"/>
                <w:sz w:val="18"/>
              </w:rPr>
              <w:t>0.609 ± 0.081</w:t>
            </w:r>
          </w:p>
        </w:tc>
        <w:tc>
          <w:tcPr>
            <w:tcW w:type="dxa" w:w="720"/>
            <w:vAlign w:val="center"/>
          </w:tcPr>
          <w:p>
            <w:pPr>
              <w:spacing w:after="40" w:before="40"/>
            </w:pPr>
            <w:r/>
            <w:r>
              <w:rPr>
                <w:rFonts w:ascii="Times New Roman" w:hAnsi="Times New Roman" w:eastAsia="宋体"/>
                <w:b w:val="0"/>
                <w:i w:val="0"/>
                <w:sz w:val="18"/>
              </w:rPr>
              <w:t>0.638 ± 0.061</w:t>
            </w:r>
          </w:p>
        </w:tc>
        <w:tc>
          <w:tcPr>
            <w:tcW w:type="dxa" w:w="720"/>
            <w:vAlign w:val="center"/>
          </w:tcPr>
          <w:p>
            <w:pPr>
              <w:spacing w:after="40" w:before="40"/>
            </w:pPr>
            <w:r/>
            <w:r>
              <w:rPr>
                <w:rFonts w:ascii="Times New Roman" w:hAnsi="Times New Roman" w:eastAsia="宋体"/>
                <w:b w:val="0"/>
                <w:i w:val="0"/>
                <w:sz w:val="18"/>
              </w:rPr>
              <w:t>0.940</w:t>
            </w:r>
          </w:p>
        </w:tc>
        <w:tc>
          <w:tcPr>
            <w:tcW w:type="dxa" w:w="720"/>
            <w:vAlign w:val="center"/>
          </w:tcPr>
          <w:p>
            <w:pPr>
              <w:spacing w:after="40" w:before="40"/>
            </w:pPr>
            <w:r/>
            <w:r>
              <w:rPr>
                <w:rFonts w:ascii="Times New Roman" w:hAnsi="Times New Roman" w:eastAsia="宋体"/>
                <w:b w:val="0"/>
                <w:i w:val="0"/>
                <w:sz w:val="18"/>
              </w:rPr>
              <w:t>0.937</w:t>
            </w:r>
          </w:p>
        </w:tc>
        <w:tc>
          <w:tcPr>
            <w:tcW w:type="dxa" w:w="720"/>
            <w:vAlign w:val="center"/>
          </w:tcPr>
          <w:p>
            <w:pPr>
              <w:spacing w:after="40" w:before="40"/>
            </w:pPr>
            <w:r/>
            <w:r>
              <w:rPr>
                <w:rFonts w:ascii="Times New Roman" w:hAnsi="Times New Roman" w:eastAsia="宋体"/>
                <w:b w:val="0"/>
                <w:i w:val="0"/>
                <w:sz w:val="18"/>
              </w:rPr>
              <w:t>0.551</w:t>
            </w:r>
          </w:p>
        </w:tc>
        <w:tc>
          <w:tcPr>
            <w:tcW w:type="dxa" w:w="720"/>
            <w:vAlign w:val="center"/>
          </w:tcPr>
          <w:p>
            <w:pPr>
              <w:spacing w:after="40" w:before="40"/>
            </w:pPr>
            <w:r/>
            <w:r>
              <w:rPr>
                <w:rFonts w:ascii="Times New Roman" w:hAnsi="Times New Roman" w:eastAsia="宋体"/>
                <w:b w:val="0"/>
                <w:i w:val="0"/>
                <w:sz w:val="18"/>
              </w:rPr>
              <w:t>0.583</w:t>
            </w:r>
          </w:p>
        </w:tc>
        <w:tc>
          <w:tcPr>
            <w:tcW w:type="dxa" w:w="720"/>
            <w:vAlign w:val="center"/>
          </w:tcPr>
          <w:p>
            <w:pPr>
              <w:spacing w:after="40" w:before="40"/>
            </w:pPr>
            <w:r/>
            <w:r>
              <w:rPr>
                <w:rFonts w:ascii="Times New Roman" w:hAnsi="Times New Roman" w:eastAsia="宋体"/>
                <w:b w:val="0"/>
                <w:i w:val="0"/>
                <w:sz w:val="18"/>
              </w:rPr>
              <w:t>62.8M</w:t>
            </w:r>
          </w:p>
        </w:tc>
        <w:tc>
          <w:tcPr>
            <w:tcW w:type="dxa" w:w="720"/>
            <w:vAlign w:val="center"/>
          </w:tcPr>
          <w:p>
            <w:pPr>
              <w:spacing w:after="40" w:before="40"/>
            </w:pPr>
            <w:r/>
            <w:r>
              <w:rPr>
                <w:rFonts w:ascii="Times New Roman" w:hAnsi="Times New Roman" w:eastAsia="宋体"/>
                <w:b w:val="0"/>
                <w:i w:val="0"/>
                <w:sz w:val="18"/>
              </w:rPr>
              <w:t>5.59</w:t>
            </w:r>
          </w:p>
        </w:tc>
        <w:tc>
          <w:tcPr>
            <w:tcW w:type="dxa" w:w="720"/>
            <w:vAlign w:val="center"/>
          </w:tcPr>
          <w:p>
            <w:pPr>
              <w:spacing w:after="40" w:before="40"/>
            </w:pPr>
            <w:r/>
            <w:r>
              <w:rPr>
                <w:rFonts w:ascii="Times New Roman" w:hAnsi="Times New Roman" w:eastAsia="宋体"/>
                <w:b w:val="0"/>
                <w:i w:val="0"/>
                <w:sz w:val="18"/>
              </w:rPr>
              <w:t>19.40</w:t>
            </w:r>
          </w:p>
        </w:tc>
        <w:tc>
          <w:tcPr>
            <w:tcW w:type="dxa" w:w="720"/>
            <w:vAlign w:val="center"/>
          </w:tcPr>
          <w:p>
            <w:pPr>
              <w:spacing w:after="40" w:before="40"/>
            </w:pPr>
            <w:r/>
            <w:r>
              <w:rPr>
                <w:rFonts w:ascii="Times New Roman" w:hAnsi="Times New Roman" w:eastAsia="宋体"/>
                <w:b w:val="0"/>
                <w:i w:val="0"/>
                <w:sz w:val="18"/>
              </w:rPr>
              <w:t>92.4</w:t>
            </w:r>
          </w:p>
        </w:tc>
      </w:tr>
      <w:tr>
        <w:tc>
          <w:tcPr>
            <w:tcW w:type="dxa" w:w="720"/>
            <w:vAlign w:val="center"/>
          </w:tcPr>
          <w:p>
            <w:pPr>
              <w:spacing w:after="40" w:before="40"/>
            </w:pPr>
            <w:r/>
            <w:r>
              <w:rPr>
                <w:rFonts w:ascii="Times New Roman" w:hAnsi="Times New Roman" w:eastAsia="宋体"/>
                <w:b w:val="0"/>
                <w:i w:val="0"/>
                <w:sz w:val="18"/>
              </w:rPr>
              <w:t>random_k8</w:t>
            </w:r>
          </w:p>
        </w:tc>
        <w:tc>
          <w:tcPr>
            <w:tcW w:type="dxa" w:w="720"/>
            <w:vAlign w:val="center"/>
          </w:tcPr>
          <w:p>
            <w:pPr>
              <w:spacing w:after="40" w:before="40"/>
            </w:pPr>
            <w:r/>
            <w:r>
              <w:rPr>
                <w:rFonts w:ascii="Times New Roman" w:hAnsi="Times New Roman" w:eastAsia="宋体"/>
                <w:b w:val="0"/>
                <w:i w:val="0"/>
                <w:sz w:val="18"/>
              </w:rPr>
              <w:t>8</w:t>
            </w:r>
          </w:p>
        </w:tc>
        <w:tc>
          <w:tcPr>
            <w:tcW w:type="dxa" w:w="720"/>
            <w:vAlign w:val="center"/>
          </w:tcPr>
          <w:p>
            <w:pPr>
              <w:spacing w:after="40" w:before="40"/>
            </w:pPr>
            <w:r/>
            <w:r>
              <w:rPr>
                <w:rFonts w:ascii="Times New Roman" w:hAnsi="Times New Roman" w:eastAsia="宋体"/>
                <w:b w:val="0"/>
                <w:i w:val="0"/>
                <w:sz w:val="18"/>
              </w:rPr>
              <w:t>8.2%</w:t>
            </w:r>
          </w:p>
        </w:tc>
        <w:tc>
          <w:tcPr>
            <w:tcW w:type="dxa" w:w="720"/>
            <w:vAlign w:val="center"/>
          </w:tcPr>
          <w:p>
            <w:pPr>
              <w:spacing w:after="40" w:before="40"/>
            </w:pPr>
            <w:r/>
            <w:r>
              <w:rPr>
                <w:rFonts w:ascii="Times New Roman" w:hAnsi="Times New Roman" w:eastAsia="宋体"/>
                <w:b w:val="0"/>
                <w:i w:val="0"/>
                <w:sz w:val="18"/>
              </w:rPr>
              <w:t>0.579 ± 0.062</w:t>
            </w:r>
          </w:p>
        </w:tc>
        <w:tc>
          <w:tcPr>
            <w:tcW w:type="dxa" w:w="720"/>
            <w:vAlign w:val="center"/>
          </w:tcPr>
          <w:p>
            <w:pPr>
              <w:spacing w:after="40" w:before="40"/>
            </w:pPr>
            <w:r/>
            <w:r>
              <w:rPr>
                <w:rFonts w:ascii="Times New Roman" w:hAnsi="Times New Roman" w:eastAsia="宋体"/>
                <w:b w:val="0"/>
                <w:i w:val="0"/>
                <w:sz w:val="18"/>
              </w:rPr>
              <w:t>0.601 ± 0.036</w:t>
            </w:r>
          </w:p>
        </w:tc>
        <w:tc>
          <w:tcPr>
            <w:tcW w:type="dxa" w:w="720"/>
            <w:vAlign w:val="center"/>
          </w:tcPr>
          <w:p>
            <w:pPr>
              <w:spacing w:after="40" w:before="40"/>
            </w:pPr>
            <w:r/>
            <w:r>
              <w:rPr>
                <w:rFonts w:ascii="Times New Roman" w:hAnsi="Times New Roman" w:eastAsia="宋体"/>
                <w:b w:val="0"/>
                <w:i w:val="0"/>
                <w:sz w:val="18"/>
              </w:rPr>
              <w:t>0.928</w:t>
            </w:r>
          </w:p>
        </w:tc>
        <w:tc>
          <w:tcPr>
            <w:tcW w:type="dxa" w:w="720"/>
            <w:vAlign w:val="center"/>
          </w:tcPr>
          <w:p>
            <w:pPr>
              <w:spacing w:after="40" w:before="40"/>
            </w:pPr>
            <w:r/>
            <w:r>
              <w:rPr>
                <w:rFonts w:ascii="Times New Roman" w:hAnsi="Times New Roman" w:eastAsia="宋体"/>
                <w:b w:val="0"/>
                <w:i w:val="0"/>
                <w:sz w:val="18"/>
              </w:rPr>
              <w:t>0.923</w:t>
            </w:r>
          </w:p>
        </w:tc>
        <w:tc>
          <w:tcPr>
            <w:tcW w:type="dxa" w:w="720"/>
            <w:vAlign w:val="center"/>
          </w:tcPr>
          <w:p>
            <w:pPr>
              <w:spacing w:after="40" w:before="40"/>
            </w:pPr>
            <w:r/>
            <w:r>
              <w:rPr>
                <w:rFonts w:ascii="Times New Roman" w:hAnsi="Times New Roman" w:eastAsia="宋体"/>
                <w:b w:val="0"/>
                <w:i w:val="0"/>
                <w:sz w:val="18"/>
              </w:rPr>
              <w:t>0.500</w:t>
            </w:r>
          </w:p>
        </w:tc>
        <w:tc>
          <w:tcPr>
            <w:tcW w:type="dxa" w:w="720"/>
            <w:vAlign w:val="center"/>
          </w:tcPr>
          <w:p>
            <w:pPr>
              <w:spacing w:after="40" w:before="40"/>
            </w:pPr>
            <w:r/>
            <w:r>
              <w:rPr>
                <w:rFonts w:ascii="Times New Roman" w:hAnsi="Times New Roman" w:eastAsia="宋体"/>
                <w:b w:val="0"/>
                <w:i w:val="0"/>
                <w:sz w:val="18"/>
              </w:rPr>
              <w:t>0.512</w:t>
            </w:r>
          </w:p>
        </w:tc>
        <w:tc>
          <w:tcPr>
            <w:tcW w:type="dxa" w:w="720"/>
            <w:vAlign w:val="center"/>
          </w:tcPr>
          <w:p>
            <w:pPr>
              <w:spacing w:after="40" w:before="40"/>
            </w:pPr>
            <w:r/>
            <w:r>
              <w:rPr>
                <w:rFonts w:ascii="Times New Roman" w:hAnsi="Times New Roman" w:eastAsia="宋体"/>
                <w:b w:val="0"/>
                <w:i w:val="0"/>
                <w:sz w:val="18"/>
              </w:rPr>
              <w:t>62.8M</w:t>
            </w:r>
          </w:p>
        </w:tc>
        <w:tc>
          <w:tcPr>
            <w:tcW w:type="dxa" w:w="720"/>
            <w:vAlign w:val="center"/>
          </w:tcPr>
          <w:p>
            <w:pPr>
              <w:spacing w:after="40" w:before="40"/>
            </w:pPr>
            <w:r/>
            <w:r>
              <w:rPr>
                <w:rFonts w:ascii="Times New Roman" w:hAnsi="Times New Roman" w:eastAsia="宋体"/>
                <w:b w:val="0"/>
                <w:i w:val="0"/>
                <w:sz w:val="18"/>
              </w:rPr>
              <w:t>5.39</w:t>
            </w:r>
          </w:p>
        </w:tc>
        <w:tc>
          <w:tcPr>
            <w:tcW w:type="dxa" w:w="720"/>
            <w:vAlign w:val="center"/>
          </w:tcPr>
          <w:p>
            <w:pPr>
              <w:spacing w:after="40" w:before="40"/>
            </w:pPr>
            <w:r/>
            <w:r>
              <w:rPr>
                <w:rFonts w:ascii="Times New Roman" w:hAnsi="Times New Roman" w:eastAsia="宋体"/>
                <w:b w:val="0"/>
                <w:i w:val="0"/>
                <w:sz w:val="18"/>
              </w:rPr>
              <w:t>19.42</w:t>
            </w:r>
          </w:p>
        </w:tc>
        <w:tc>
          <w:tcPr>
            <w:tcW w:type="dxa" w:w="720"/>
            <w:vAlign w:val="center"/>
          </w:tcPr>
          <w:p>
            <w:pPr>
              <w:spacing w:after="40" w:before="40"/>
            </w:pPr>
            <w:r/>
            <w:r>
              <w:rPr>
                <w:rFonts w:ascii="Times New Roman" w:hAnsi="Times New Roman" w:eastAsia="宋体"/>
                <w:b w:val="0"/>
                <w:i w:val="0"/>
                <w:sz w:val="18"/>
              </w:rPr>
              <w:t>92.4</w:t>
            </w:r>
          </w:p>
        </w:tc>
      </w:tr>
      <w:tr>
        <w:tc>
          <w:tcPr>
            <w:tcW w:type="dxa" w:w="720"/>
            <w:vAlign w:val="center"/>
          </w:tcPr>
          <w:p>
            <w:pPr>
              <w:spacing w:after="40" w:before="40"/>
            </w:pPr>
            <w:r/>
            <w:r>
              <w:rPr>
                <w:rFonts w:ascii="Times New Roman" w:hAnsi="Times New Roman" w:eastAsia="宋体"/>
                <w:b w:val="0"/>
                <w:i w:val="0"/>
                <w:sz w:val="18"/>
              </w:rPr>
              <w:t>mixed_k8（主模型）</w:t>
            </w:r>
          </w:p>
        </w:tc>
        <w:tc>
          <w:tcPr>
            <w:tcW w:type="dxa" w:w="720"/>
            <w:vAlign w:val="center"/>
          </w:tcPr>
          <w:p>
            <w:pPr>
              <w:spacing w:after="40" w:before="40"/>
            </w:pPr>
            <w:r/>
            <w:r>
              <w:rPr>
                <w:rFonts w:ascii="Times New Roman" w:hAnsi="Times New Roman" w:eastAsia="宋体"/>
                <w:b w:val="0"/>
                <w:i w:val="0"/>
                <w:sz w:val="18"/>
              </w:rPr>
              <w:t>8</w:t>
            </w:r>
          </w:p>
        </w:tc>
        <w:tc>
          <w:tcPr>
            <w:tcW w:type="dxa" w:w="720"/>
            <w:vAlign w:val="center"/>
          </w:tcPr>
          <w:p>
            <w:pPr>
              <w:spacing w:after="40" w:before="40"/>
            </w:pPr>
            <w:r/>
            <w:r>
              <w:rPr>
                <w:rFonts w:ascii="Times New Roman" w:hAnsi="Times New Roman" w:eastAsia="宋体"/>
                <w:b w:val="0"/>
                <w:i w:val="0"/>
                <w:sz w:val="18"/>
              </w:rPr>
              <w:t>8.2%</w:t>
            </w:r>
          </w:p>
        </w:tc>
        <w:tc>
          <w:tcPr>
            <w:tcW w:type="dxa" w:w="720"/>
            <w:vAlign w:val="center"/>
          </w:tcPr>
          <w:p>
            <w:pPr>
              <w:spacing w:after="40" w:before="40"/>
            </w:pPr>
            <w:r/>
            <w:r>
              <w:rPr>
                <w:rFonts w:ascii="Times New Roman" w:hAnsi="Times New Roman" w:eastAsia="宋体"/>
                <w:b w:val="0"/>
                <w:i w:val="0"/>
                <w:sz w:val="18"/>
              </w:rPr>
              <w:t>0.615 ± 0.053</w:t>
            </w:r>
          </w:p>
        </w:tc>
        <w:tc>
          <w:tcPr>
            <w:tcW w:type="dxa" w:w="720"/>
            <w:vAlign w:val="center"/>
          </w:tcPr>
          <w:p>
            <w:pPr>
              <w:spacing w:after="40" w:before="40"/>
            </w:pPr>
            <w:r/>
            <w:r>
              <w:rPr>
                <w:rFonts w:ascii="Times New Roman" w:hAnsi="Times New Roman" w:eastAsia="宋体"/>
                <w:b w:val="0"/>
                <w:i w:val="0"/>
                <w:sz w:val="18"/>
              </w:rPr>
              <w:t>0.643 ± 0.053</w:t>
            </w:r>
          </w:p>
        </w:tc>
        <w:tc>
          <w:tcPr>
            <w:tcW w:type="dxa" w:w="720"/>
            <w:vAlign w:val="center"/>
          </w:tcPr>
          <w:p>
            <w:pPr>
              <w:spacing w:after="40" w:before="40"/>
            </w:pPr>
            <w:r/>
            <w:r>
              <w:rPr>
                <w:rFonts w:ascii="Times New Roman" w:hAnsi="Times New Roman" w:eastAsia="宋体"/>
                <w:b w:val="0"/>
                <w:i w:val="0"/>
                <w:sz w:val="18"/>
              </w:rPr>
              <w:t>0.937</w:t>
            </w:r>
          </w:p>
        </w:tc>
        <w:tc>
          <w:tcPr>
            <w:tcW w:type="dxa" w:w="720"/>
            <w:vAlign w:val="center"/>
          </w:tcPr>
          <w:p>
            <w:pPr>
              <w:spacing w:after="40" w:before="40"/>
            </w:pPr>
            <w:r/>
            <w:r>
              <w:rPr>
                <w:rFonts w:ascii="Times New Roman" w:hAnsi="Times New Roman" w:eastAsia="宋体"/>
                <w:b w:val="0"/>
                <w:i w:val="0"/>
                <w:sz w:val="18"/>
              </w:rPr>
              <w:t>0.935</w:t>
            </w:r>
          </w:p>
        </w:tc>
        <w:tc>
          <w:tcPr>
            <w:tcW w:type="dxa" w:w="720"/>
            <w:vAlign w:val="center"/>
          </w:tcPr>
          <w:p>
            <w:pPr>
              <w:spacing w:after="40" w:before="40"/>
            </w:pPr>
            <w:r/>
            <w:r>
              <w:rPr>
                <w:rFonts w:ascii="Times New Roman" w:hAnsi="Times New Roman" w:eastAsia="宋体"/>
                <w:b w:val="0"/>
                <w:i w:val="0"/>
                <w:sz w:val="18"/>
              </w:rPr>
              <w:t>0.534</w:t>
            </w:r>
          </w:p>
        </w:tc>
        <w:tc>
          <w:tcPr>
            <w:tcW w:type="dxa" w:w="720"/>
            <w:vAlign w:val="center"/>
          </w:tcPr>
          <w:p>
            <w:pPr>
              <w:spacing w:after="40" w:before="40"/>
            </w:pPr>
            <w:r/>
            <w:r>
              <w:rPr>
                <w:rFonts w:ascii="Times New Roman" w:hAnsi="Times New Roman" w:eastAsia="宋体"/>
                <w:b w:val="0"/>
                <w:i w:val="0"/>
                <w:sz w:val="18"/>
              </w:rPr>
              <w:t>0.541</w:t>
            </w:r>
          </w:p>
        </w:tc>
        <w:tc>
          <w:tcPr>
            <w:tcW w:type="dxa" w:w="720"/>
            <w:vAlign w:val="center"/>
          </w:tcPr>
          <w:p>
            <w:pPr>
              <w:spacing w:after="40" w:before="40"/>
            </w:pPr>
            <w:r/>
            <w:r>
              <w:rPr>
                <w:rFonts w:ascii="Times New Roman" w:hAnsi="Times New Roman" w:eastAsia="宋体"/>
                <w:b w:val="0"/>
                <w:i w:val="0"/>
                <w:sz w:val="18"/>
              </w:rPr>
              <w:t>62.8M</w:t>
            </w:r>
          </w:p>
        </w:tc>
        <w:tc>
          <w:tcPr>
            <w:tcW w:type="dxa" w:w="720"/>
            <w:vAlign w:val="center"/>
          </w:tcPr>
          <w:p>
            <w:pPr>
              <w:spacing w:after="40" w:before="40"/>
            </w:pPr>
            <w:r/>
            <w:r>
              <w:rPr>
                <w:rFonts w:ascii="Times New Roman" w:hAnsi="Times New Roman" w:eastAsia="宋体"/>
                <w:b w:val="0"/>
                <w:i w:val="0"/>
                <w:sz w:val="18"/>
              </w:rPr>
              <w:t>5.35</w:t>
            </w:r>
          </w:p>
        </w:tc>
        <w:tc>
          <w:tcPr>
            <w:tcW w:type="dxa" w:w="720"/>
            <w:vAlign w:val="center"/>
          </w:tcPr>
          <w:p>
            <w:pPr>
              <w:spacing w:after="40" w:before="40"/>
            </w:pPr>
            <w:r/>
            <w:r>
              <w:rPr>
                <w:rFonts w:ascii="Times New Roman" w:hAnsi="Times New Roman" w:eastAsia="宋体"/>
                <w:b w:val="0"/>
                <w:i w:val="0"/>
                <w:sz w:val="18"/>
              </w:rPr>
              <w:t>20.97</w:t>
            </w:r>
          </w:p>
        </w:tc>
        <w:tc>
          <w:tcPr>
            <w:tcW w:type="dxa" w:w="720"/>
            <w:vAlign w:val="center"/>
          </w:tcPr>
          <w:p>
            <w:pPr>
              <w:spacing w:after="40" w:before="40"/>
            </w:pPr>
            <w:r/>
            <w:r>
              <w:rPr>
                <w:rFonts w:ascii="Times New Roman" w:hAnsi="Times New Roman" w:eastAsia="宋体"/>
                <w:b w:val="0"/>
                <w:i w:val="0"/>
                <w:sz w:val="18"/>
              </w:rPr>
              <w:t>92.4</w:t>
            </w:r>
          </w:p>
        </w:tc>
      </w:tr>
      <w:tr>
        <w:tc>
          <w:tcPr>
            <w:tcW w:type="dxa" w:w="720"/>
            <w:vAlign w:val="center"/>
          </w:tcPr>
          <w:p>
            <w:pPr>
              <w:spacing w:after="40" w:before="40"/>
            </w:pPr>
            <w:r/>
            <w:r>
              <w:rPr>
                <w:rFonts w:ascii="Times New Roman" w:hAnsi="Times New Roman" w:eastAsia="宋体"/>
                <w:b w:val="0"/>
                <w:i w:val="0"/>
                <w:sz w:val="18"/>
              </w:rPr>
              <w:t>full_signal</w:t>
            </w:r>
          </w:p>
        </w:tc>
        <w:tc>
          <w:tcPr>
            <w:tcW w:type="dxa" w:w="720"/>
            <w:vAlign w:val="center"/>
          </w:tcPr>
          <w:p>
            <w:pPr>
              <w:spacing w:after="40" w:before="40"/>
            </w:pPr>
            <w:r/>
            <w:r>
              <w:rPr>
                <w:rFonts w:ascii="Times New Roman" w:hAnsi="Times New Roman" w:eastAsia="宋体"/>
                <w:b w:val="0"/>
                <w:i w:val="0"/>
                <w:sz w:val="18"/>
              </w:rPr>
              <w:t>1</w:t>
            </w:r>
          </w:p>
        </w:tc>
        <w:tc>
          <w:tcPr>
            <w:tcW w:type="dxa" w:w="720"/>
            <w:vAlign w:val="center"/>
          </w:tcPr>
          <w:p>
            <w:pPr>
              <w:spacing w:after="40" w:before="40"/>
            </w:pPr>
            <w:r/>
            <w:r>
              <w:rPr>
                <w:rFonts w:ascii="Times New Roman" w:hAnsi="Times New Roman" w:eastAsia="宋体"/>
                <w:b w:val="0"/>
                <w:i w:val="0"/>
                <w:sz w:val="18"/>
              </w:rPr>
              <w:t>100%</w:t>
            </w:r>
          </w:p>
        </w:tc>
        <w:tc>
          <w:tcPr>
            <w:tcW w:type="dxa" w:w="720"/>
            <w:vAlign w:val="center"/>
          </w:tcPr>
          <w:p>
            <w:pPr>
              <w:spacing w:after="40" w:before="40"/>
            </w:pPr>
            <w:r/>
            <w:r>
              <w:rPr>
                <w:rFonts w:ascii="Times New Roman" w:hAnsi="Times New Roman" w:eastAsia="宋体"/>
                <w:b w:val="0"/>
                <w:i w:val="0"/>
                <w:sz w:val="18"/>
              </w:rPr>
              <w:t>0.345 ± 0.174</w:t>
            </w:r>
          </w:p>
        </w:tc>
        <w:tc>
          <w:tcPr>
            <w:tcW w:type="dxa" w:w="720"/>
            <w:vAlign w:val="center"/>
          </w:tcPr>
          <w:p>
            <w:pPr>
              <w:spacing w:after="40" w:before="40"/>
            </w:pPr>
            <w:r/>
            <w:r>
              <w:rPr>
                <w:rFonts w:ascii="Times New Roman" w:hAnsi="Times New Roman" w:eastAsia="宋体"/>
                <w:b w:val="0"/>
                <w:i w:val="0"/>
                <w:sz w:val="18"/>
              </w:rPr>
              <w:t>0.387 ± 0.165</w:t>
            </w:r>
          </w:p>
        </w:tc>
        <w:tc>
          <w:tcPr>
            <w:tcW w:type="dxa" w:w="720"/>
            <w:vAlign w:val="center"/>
          </w:tcPr>
          <w:p>
            <w:pPr>
              <w:spacing w:after="40" w:before="40"/>
            </w:pPr>
            <w:r/>
            <w:r>
              <w:rPr>
                <w:rFonts w:ascii="Times New Roman" w:hAnsi="Times New Roman" w:eastAsia="宋体"/>
                <w:b w:val="0"/>
                <w:i w:val="0"/>
                <w:sz w:val="18"/>
              </w:rPr>
              <w:t>0.823</w:t>
            </w:r>
          </w:p>
        </w:tc>
        <w:tc>
          <w:tcPr>
            <w:tcW w:type="dxa" w:w="720"/>
            <w:vAlign w:val="center"/>
          </w:tcPr>
          <w:p>
            <w:pPr>
              <w:spacing w:after="40" w:before="40"/>
            </w:pPr>
            <w:r/>
            <w:r>
              <w:rPr>
                <w:rFonts w:ascii="Times New Roman" w:hAnsi="Times New Roman" w:eastAsia="宋体"/>
                <w:b w:val="0"/>
                <w:i w:val="0"/>
                <w:sz w:val="18"/>
              </w:rPr>
              <w:t>0.835</w:t>
            </w:r>
          </w:p>
        </w:tc>
        <w:tc>
          <w:tcPr>
            <w:tcW w:type="dxa" w:w="720"/>
            <w:vAlign w:val="center"/>
          </w:tcPr>
          <w:p>
            <w:pPr>
              <w:spacing w:after="40" w:before="40"/>
            </w:pPr>
            <w:r/>
            <w:r>
              <w:rPr>
                <w:rFonts w:ascii="Times New Roman" w:hAnsi="Times New Roman" w:eastAsia="宋体"/>
                <w:b w:val="0"/>
                <w:i w:val="0"/>
                <w:sz w:val="18"/>
              </w:rPr>
              <w:t>0.178</w:t>
            </w:r>
          </w:p>
        </w:tc>
        <w:tc>
          <w:tcPr>
            <w:tcW w:type="dxa" w:w="720"/>
            <w:vAlign w:val="center"/>
          </w:tcPr>
          <w:p>
            <w:pPr>
              <w:spacing w:after="40" w:before="40"/>
            </w:pPr>
            <w:r/>
            <w:r>
              <w:rPr>
                <w:rFonts w:ascii="Times New Roman" w:hAnsi="Times New Roman" w:eastAsia="宋体"/>
                <w:b w:val="0"/>
                <w:i w:val="0"/>
                <w:sz w:val="18"/>
              </w:rPr>
              <w:t>0.217</w:t>
            </w:r>
          </w:p>
        </w:tc>
        <w:tc>
          <w:tcPr>
            <w:tcW w:type="dxa" w:w="720"/>
            <w:vAlign w:val="center"/>
          </w:tcPr>
          <w:p>
            <w:pPr>
              <w:spacing w:after="40" w:before="40"/>
            </w:pPr>
            <w:r/>
            <w:r>
              <w:rPr>
                <w:rFonts w:ascii="Times New Roman" w:hAnsi="Times New Roman" w:eastAsia="宋体"/>
                <w:b w:val="0"/>
                <w:i w:val="0"/>
                <w:sz w:val="18"/>
              </w:rPr>
              <w:t>755.3M</w:t>
            </w:r>
          </w:p>
        </w:tc>
        <w:tc>
          <w:tcPr>
            <w:tcW w:type="dxa" w:w="720"/>
            <w:vAlign w:val="center"/>
          </w:tcPr>
          <w:p>
            <w:pPr>
              <w:spacing w:after="40" w:before="40"/>
            </w:pPr>
            <w:r/>
            <w:r>
              <w:rPr>
                <w:rFonts w:ascii="Times New Roman" w:hAnsi="Times New Roman" w:eastAsia="宋体"/>
                <w:b w:val="0"/>
                <w:i w:val="0"/>
                <w:sz w:val="18"/>
              </w:rPr>
              <w:t>25.35</w:t>
            </w:r>
          </w:p>
        </w:tc>
        <w:tc>
          <w:tcPr>
            <w:tcW w:type="dxa" w:w="720"/>
            <w:vAlign w:val="center"/>
          </w:tcPr>
          <w:p>
            <w:pPr>
              <w:spacing w:after="40" w:before="40"/>
            </w:pPr>
            <w:r/>
            <w:r>
              <w:rPr>
                <w:rFonts w:ascii="Times New Roman" w:hAnsi="Times New Roman" w:eastAsia="宋体"/>
                <w:b w:val="0"/>
                <w:i w:val="0"/>
                <w:sz w:val="18"/>
              </w:rPr>
              <w:t>379.96</w:t>
            </w:r>
          </w:p>
        </w:tc>
        <w:tc>
          <w:tcPr>
            <w:tcW w:type="dxa" w:w="720"/>
            <w:vAlign w:val="center"/>
          </w:tcPr>
          <w:p>
            <w:pPr>
              <w:spacing w:after="40" w:before="40"/>
            </w:pPr>
            <w:r/>
            <w:r>
              <w:rPr>
                <w:rFonts w:ascii="Times New Roman" w:hAnsi="Times New Roman" w:eastAsia="宋体"/>
                <w:b w:val="0"/>
                <w:i w:val="0"/>
                <w:sz w:val="18"/>
              </w:rPr>
              <w:t>184.0</w:t>
            </w:r>
          </w:p>
        </w:tc>
      </w:tr>
    </w:tbl>
    <w:p>
      <w:pPr>
        <w:spacing w:before="0" w:after="40"/>
      </w:pPr>
    </w:p>
    <w:p>
      <w:pPr>
        <w:spacing w:before="0" w:after="120"/>
      </w:pPr>
      <w:r>
        <w:rPr>
          <w:rFonts w:ascii="Times New Roman" w:hAnsi="Times New Roman" w:eastAsia="宋体"/>
          <w:b w:val="0"/>
          <w:i w:val="0"/>
          <w:sz w:val="21"/>
        </w:rPr>
        <w:t>配对聚类 bootstrap（2,000 次，seed 42；差值 = mixed_k8 − 策略）：</w:t>
      </w:r>
    </w:p>
    <w:p>
      <w:pPr>
        <w:spacing w:before="160" w:after="40"/>
      </w:pPr>
      <w:r>
        <w:rPr>
          <w:rFonts w:ascii="Times New Roman" w:hAnsi="Times New Roman" w:eastAsia="宋体"/>
          <w:b w:val="0"/>
          <w:i w:val="0"/>
          <w:sz w:val="18"/>
        </w:rPr>
        <w:t>表 IX  配对聚类 bootstrap 对比（混合 K=8 减策略，95% CI）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对比</w:t>
            </w:r>
          </w:p>
        </w:tc>
        <w:tc>
          <w:tcPr>
            <w:tcW w:type="dxa" w:w="3120"/>
            <w:vAlign w:val="center"/>
            <w:shd w:val="clear" w:fill="F4F6F9"/>
          </w:tcPr>
          <w:p>
            <w:pPr>
              <w:spacing w:after="40" w:before="40"/>
            </w:pPr>
            <w:r/>
            <w:r>
              <w:rPr>
                <w:rFonts w:ascii="Times New Roman" w:hAnsi="Times New Roman" w:eastAsia="宋体"/>
                <w:b/>
                <w:i w:val="0"/>
                <w:sz w:val="18"/>
              </w:rPr>
              <w:t>层级</w:t>
            </w:r>
          </w:p>
        </w:tc>
        <w:tc>
          <w:tcPr>
            <w:tcW w:type="dxa" w:w="3120"/>
            <w:vAlign w:val="center"/>
            <w:shd w:val="clear" w:fill="F4F6F9"/>
          </w:tcPr>
          <w:p>
            <w:pPr>
              <w:spacing w:after="40" w:before="40"/>
            </w:pPr>
            <w:r/>
            <w:r>
              <w:rPr>
                <w:rFonts w:ascii="Times New Roman" w:hAnsi="Times New Roman" w:eastAsia="宋体"/>
                <w:b/>
                <w:i w:val="0"/>
                <w:sz w:val="18"/>
              </w:rPr>
              <w:t>PR-AUC 差值（95% CI）</w:t>
            </w:r>
          </w:p>
        </w:tc>
      </w:tr>
      <w:tr>
        <w:tc>
          <w:tcPr>
            <w:tcW w:type="dxa" w:w="3120"/>
            <w:vAlign w:val="center"/>
          </w:tcPr>
          <w:p>
            <w:pPr>
              <w:spacing w:after="40" w:before="40"/>
            </w:pPr>
            <w:r/>
            <w:r>
              <w:rPr>
                <w:rFonts w:ascii="Times New Roman" w:hAnsi="Times New Roman" w:eastAsia="宋体"/>
                <w:b w:val="0"/>
                <w:i w:val="0"/>
                <w:sz w:val="18"/>
              </w:rPr>
              <w:t>mixed vs uniform</w:t>
            </w:r>
          </w:p>
        </w:tc>
        <w:tc>
          <w:tcPr>
            <w:tcW w:type="dxa" w:w="3120"/>
            <w:vAlign w:val="center"/>
          </w:tcPr>
          <w:p>
            <w:pPr>
              <w:spacing w:after="40" w:before="40"/>
            </w:pPr>
            <w:r/>
            <w:r>
              <w:rPr>
                <w:rFonts w:ascii="Times New Roman" w:hAnsi="Times New Roman" w:eastAsia="宋体"/>
                <w:b w:val="0"/>
                <w:i w:val="0"/>
                <w:sz w:val="18"/>
              </w:rPr>
              <w:t>相位</w:t>
            </w:r>
          </w:p>
        </w:tc>
        <w:tc>
          <w:tcPr>
            <w:tcW w:type="dxa" w:w="3120"/>
            <w:vAlign w:val="center"/>
          </w:tcPr>
          <w:p>
            <w:pPr>
              <w:spacing w:after="40" w:before="40"/>
            </w:pPr>
            <w:r/>
            <w:r>
              <w:rPr>
                <w:rFonts w:ascii="Times New Roman" w:hAnsi="Times New Roman" w:eastAsia="宋体"/>
                <w:b w:val="0"/>
                <w:i w:val="0"/>
                <w:sz w:val="18"/>
              </w:rPr>
              <w:t>+0.113 [0.055, 0.175]</w:t>
            </w:r>
          </w:p>
        </w:tc>
      </w:tr>
      <w:tr>
        <w:tc>
          <w:tcPr>
            <w:tcW w:type="dxa" w:w="3120"/>
            <w:vAlign w:val="center"/>
          </w:tcPr>
          <w:p>
            <w:pPr>
              <w:spacing w:after="40" w:before="40"/>
            </w:pPr>
            <w:r/>
            <w:r>
              <w:rPr>
                <w:rFonts w:ascii="Times New Roman" w:hAnsi="Times New Roman" w:eastAsia="宋体"/>
                <w:b w:val="0"/>
                <w:i w:val="0"/>
                <w:sz w:val="18"/>
              </w:rPr>
              <w:t>mixed vs uniform</w:t>
            </w:r>
          </w:p>
        </w:tc>
        <w:tc>
          <w:tcPr>
            <w:tcW w:type="dxa" w:w="3120"/>
            <w:vAlign w:val="center"/>
          </w:tcPr>
          <w:p>
            <w:pPr>
              <w:spacing w:after="40" w:before="40"/>
            </w:pPr>
            <w:r/>
            <w:r>
              <w:rPr>
                <w:rFonts w:ascii="Times New Roman" w:hAnsi="Times New Roman" w:eastAsia="宋体"/>
                <w:b w:val="0"/>
                <w:i w:val="0"/>
                <w:sz w:val="18"/>
              </w:rPr>
              <w:t>测量</w:t>
            </w:r>
          </w:p>
        </w:tc>
        <w:tc>
          <w:tcPr>
            <w:tcW w:type="dxa" w:w="3120"/>
            <w:vAlign w:val="center"/>
          </w:tcPr>
          <w:p>
            <w:pPr>
              <w:spacing w:after="40" w:before="40"/>
            </w:pPr>
            <w:r/>
            <w:r>
              <w:rPr>
                <w:rFonts w:ascii="Times New Roman" w:hAnsi="Times New Roman" w:eastAsia="宋体"/>
                <w:b w:val="0"/>
                <w:i w:val="0"/>
                <w:sz w:val="18"/>
              </w:rPr>
              <w:t>+0.131 [0.073, 0.194]</w:t>
            </w:r>
          </w:p>
        </w:tc>
      </w:tr>
      <w:tr>
        <w:tc>
          <w:tcPr>
            <w:tcW w:type="dxa" w:w="3120"/>
            <w:vAlign w:val="center"/>
          </w:tcPr>
          <w:p>
            <w:pPr>
              <w:spacing w:after="40" w:before="40"/>
            </w:pPr>
            <w:r/>
            <w:r>
              <w:rPr>
                <w:rFonts w:ascii="Times New Roman" w:hAnsi="Times New Roman" w:eastAsia="宋体"/>
                <w:b w:val="0"/>
                <w:i w:val="0"/>
                <w:sz w:val="18"/>
              </w:rPr>
              <w:t>mixed vs event</w:t>
            </w:r>
          </w:p>
        </w:tc>
        <w:tc>
          <w:tcPr>
            <w:tcW w:type="dxa" w:w="3120"/>
            <w:vAlign w:val="center"/>
          </w:tcPr>
          <w:p>
            <w:pPr>
              <w:spacing w:after="40" w:before="40"/>
            </w:pPr>
            <w:r/>
            <w:r>
              <w:rPr>
                <w:rFonts w:ascii="Times New Roman" w:hAnsi="Times New Roman" w:eastAsia="宋体"/>
                <w:b w:val="0"/>
                <w:i w:val="0"/>
                <w:sz w:val="18"/>
              </w:rPr>
              <w:t>相位</w:t>
            </w:r>
          </w:p>
        </w:tc>
        <w:tc>
          <w:tcPr>
            <w:tcW w:type="dxa" w:w="3120"/>
            <w:vAlign w:val="center"/>
          </w:tcPr>
          <w:p>
            <w:pPr>
              <w:spacing w:after="40" w:before="40"/>
            </w:pPr>
            <w:r/>
            <w:r>
              <w:rPr>
                <w:rFonts w:ascii="Times New Roman" w:hAnsi="Times New Roman" w:eastAsia="宋体"/>
                <w:b w:val="0"/>
                <w:i w:val="0"/>
                <w:sz w:val="18"/>
              </w:rPr>
              <w:t>+0.062 [0.002, 0.122]</w:t>
            </w:r>
          </w:p>
        </w:tc>
      </w:tr>
      <w:tr>
        <w:tc>
          <w:tcPr>
            <w:tcW w:type="dxa" w:w="3120"/>
            <w:vAlign w:val="center"/>
          </w:tcPr>
          <w:p>
            <w:pPr>
              <w:spacing w:after="40" w:before="40"/>
            </w:pPr>
            <w:r/>
            <w:r>
              <w:rPr>
                <w:rFonts w:ascii="Times New Roman" w:hAnsi="Times New Roman" w:eastAsia="宋体"/>
                <w:b w:val="0"/>
                <w:i w:val="0"/>
                <w:sz w:val="18"/>
              </w:rPr>
              <w:t>mixed vs event</w:t>
            </w:r>
          </w:p>
        </w:tc>
        <w:tc>
          <w:tcPr>
            <w:tcW w:type="dxa" w:w="3120"/>
            <w:vAlign w:val="center"/>
          </w:tcPr>
          <w:p>
            <w:pPr>
              <w:spacing w:after="40" w:before="40"/>
            </w:pPr>
            <w:r/>
            <w:r>
              <w:rPr>
                <w:rFonts w:ascii="Times New Roman" w:hAnsi="Times New Roman" w:eastAsia="宋体"/>
                <w:b w:val="0"/>
                <w:i w:val="0"/>
                <w:sz w:val="18"/>
              </w:rPr>
              <w:t>测量</w:t>
            </w:r>
          </w:p>
        </w:tc>
        <w:tc>
          <w:tcPr>
            <w:tcW w:type="dxa" w:w="3120"/>
            <w:vAlign w:val="center"/>
          </w:tcPr>
          <w:p>
            <w:pPr>
              <w:spacing w:after="40" w:before="40"/>
            </w:pPr>
            <w:r/>
            <w:r>
              <w:rPr>
                <w:rFonts w:ascii="Times New Roman" w:hAnsi="Times New Roman" w:eastAsia="宋体"/>
                <w:b w:val="0"/>
                <w:i w:val="0"/>
                <w:sz w:val="18"/>
              </w:rPr>
              <w:t>+0.053 [−0.011, 0.118]</w:t>
            </w:r>
          </w:p>
        </w:tc>
      </w:tr>
      <w:tr>
        <w:tc>
          <w:tcPr>
            <w:tcW w:type="dxa" w:w="3120"/>
            <w:vAlign w:val="center"/>
          </w:tcPr>
          <w:p>
            <w:pPr>
              <w:spacing w:after="40" w:before="40"/>
            </w:pPr>
            <w:r/>
            <w:r>
              <w:rPr>
                <w:rFonts w:ascii="Times New Roman" w:hAnsi="Times New Roman" w:eastAsia="宋体"/>
                <w:b w:val="0"/>
                <w:i w:val="0"/>
                <w:sz w:val="18"/>
              </w:rPr>
              <w:t>mixed vs random</w:t>
            </w:r>
          </w:p>
        </w:tc>
        <w:tc>
          <w:tcPr>
            <w:tcW w:type="dxa" w:w="3120"/>
            <w:vAlign w:val="center"/>
          </w:tcPr>
          <w:p>
            <w:pPr>
              <w:spacing w:after="40" w:before="40"/>
            </w:pPr>
            <w:r/>
            <w:r>
              <w:rPr>
                <w:rFonts w:ascii="Times New Roman" w:hAnsi="Times New Roman" w:eastAsia="宋体"/>
                <w:b w:val="0"/>
                <w:i w:val="0"/>
                <w:sz w:val="18"/>
              </w:rPr>
              <w:t>相位</w:t>
            </w:r>
          </w:p>
        </w:tc>
        <w:tc>
          <w:tcPr>
            <w:tcW w:type="dxa" w:w="3120"/>
            <w:vAlign w:val="center"/>
          </w:tcPr>
          <w:p>
            <w:pPr>
              <w:spacing w:after="40" w:before="40"/>
            </w:pPr>
            <w:r/>
            <w:r>
              <w:rPr>
                <w:rFonts w:ascii="Times New Roman" w:hAnsi="Times New Roman" w:eastAsia="宋体"/>
                <w:b w:val="0"/>
                <w:i w:val="0"/>
                <w:sz w:val="18"/>
              </w:rPr>
              <w:t>+0.044 [−0.023, 0.112]</w:t>
            </w:r>
          </w:p>
        </w:tc>
      </w:tr>
      <w:tr>
        <w:tc>
          <w:tcPr>
            <w:tcW w:type="dxa" w:w="3120"/>
            <w:vAlign w:val="center"/>
          </w:tcPr>
          <w:p>
            <w:pPr>
              <w:spacing w:after="40" w:before="40"/>
            </w:pPr>
            <w:r/>
            <w:r>
              <w:rPr>
                <w:rFonts w:ascii="Times New Roman" w:hAnsi="Times New Roman" w:eastAsia="宋体"/>
                <w:b w:val="0"/>
                <w:i w:val="0"/>
                <w:sz w:val="18"/>
              </w:rPr>
              <w:t>mixed vs random</w:t>
            </w:r>
          </w:p>
        </w:tc>
        <w:tc>
          <w:tcPr>
            <w:tcW w:type="dxa" w:w="3120"/>
            <w:vAlign w:val="center"/>
          </w:tcPr>
          <w:p>
            <w:pPr>
              <w:spacing w:after="40" w:before="40"/>
            </w:pPr>
            <w:r/>
            <w:r>
              <w:rPr>
                <w:rFonts w:ascii="Times New Roman" w:hAnsi="Times New Roman" w:eastAsia="宋体"/>
                <w:b w:val="0"/>
                <w:i w:val="0"/>
                <w:sz w:val="18"/>
              </w:rPr>
              <w:t>测量</w:t>
            </w:r>
          </w:p>
        </w:tc>
        <w:tc>
          <w:tcPr>
            <w:tcW w:type="dxa" w:w="3120"/>
            <w:vAlign w:val="center"/>
          </w:tcPr>
          <w:p>
            <w:pPr>
              <w:spacing w:after="40" w:before="40"/>
            </w:pPr>
            <w:r/>
            <w:r>
              <w:rPr>
                <w:rFonts w:ascii="Times New Roman" w:hAnsi="Times New Roman" w:eastAsia="宋体"/>
                <w:b w:val="0"/>
                <w:i w:val="0"/>
                <w:sz w:val="18"/>
              </w:rPr>
              <w:t>+0.077 [0.010, 0.141]</w:t>
            </w:r>
          </w:p>
        </w:tc>
      </w:tr>
      <w:tr>
        <w:tc>
          <w:tcPr>
            <w:tcW w:type="dxa" w:w="3120"/>
            <w:vAlign w:val="center"/>
          </w:tcPr>
          <w:p>
            <w:pPr>
              <w:spacing w:after="40" w:before="40"/>
            </w:pPr>
            <w:r/>
            <w:r>
              <w:rPr>
                <w:rFonts w:ascii="Times New Roman" w:hAnsi="Times New Roman" w:eastAsia="宋体"/>
                <w:b w:val="0"/>
                <w:i w:val="0"/>
                <w:sz w:val="18"/>
              </w:rPr>
              <w:t>mixed vs full</w:t>
            </w:r>
          </w:p>
        </w:tc>
        <w:tc>
          <w:tcPr>
            <w:tcW w:type="dxa" w:w="3120"/>
            <w:vAlign w:val="center"/>
          </w:tcPr>
          <w:p>
            <w:pPr>
              <w:spacing w:after="40" w:before="40"/>
            </w:pPr>
            <w:r/>
            <w:r>
              <w:rPr>
                <w:rFonts w:ascii="Times New Roman" w:hAnsi="Times New Roman" w:eastAsia="宋体"/>
                <w:b w:val="0"/>
                <w:i w:val="0"/>
                <w:sz w:val="18"/>
              </w:rPr>
              <w:t>相位</w:t>
            </w:r>
          </w:p>
        </w:tc>
        <w:tc>
          <w:tcPr>
            <w:tcW w:type="dxa" w:w="3120"/>
            <w:vAlign w:val="center"/>
          </w:tcPr>
          <w:p>
            <w:pPr>
              <w:spacing w:after="40" w:before="40"/>
            </w:pPr>
            <w:r/>
            <w:r>
              <w:rPr>
                <w:rFonts w:ascii="Times New Roman" w:hAnsi="Times New Roman" w:eastAsia="宋体"/>
                <w:b w:val="0"/>
                <w:i w:val="0"/>
                <w:sz w:val="18"/>
              </w:rPr>
              <w:t>+0.306 [0.240, 0.369]</w:t>
            </w:r>
          </w:p>
        </w:tc>
      </w:tr>
      <w:tr>
        <w:tc>
          <w:tcPr>
            <w:tcW w:type="dxa" w:w="3120"/>
            <w:vAlign w:val="center"/>
          </w:tcPr>
          <w:p>
            <w:pPr>
              <w:spacing w:after="40" w:before="40"/>
            </w:pPr>
            <w:r/>
            <w:r>
              <w:rPr>
                <w:rFonts w:ascii="Times New Roman" w:hAnsi="Times New Roman" w:eastAsia="宋体"/>
                <w:b w:val="0"/>
                <w:i w:val="0"/>
                <w:sz w:val="18"/>
              </w:rPr>
              <w:t>mixed vs full</w:t>
            </w:r>
          </w:p>
        </w:tc>
        <w:tc>
          <w:tcPr>
            <w:tcW w:type="dxa" w:w="3120"/>
            <w:vAlign w:val="center"/>
          </w:tcPr>
          <w:p>
            <w:pPr>
              <w:spacing w:after="40" w:before="40"/>
            </w:pPr>
            <w:r/>
            <w:r>
              <w:rPr>
                <w:rFonts w:ascii="Times New Roman" w:hAnsi="Times New Roman" w:eastAsia="宋体"/>
                <w:b w:val="0"/>
                <w:i w:val="0"/>
                <w:sz w:val="18"/>
              </w:rPr>
              <w:t>测量</w:t>
            </w:r>
          </w:p>
        </w:tc>
        <w:tc>
          <w:tcPr>
            <w:tcW w:type="dxa" w:w="3120"/>
            <w:vAlign w:val="center"/>
          </w:tcPr>
          <w:p>
            <w:pPr>
              <w:spacing w:after="40" w:before="40"/>
            </w:pPr>
            <w:r/>
            <w:r>
              <w:rPr>
                <w:rFonts w:ascii="Times New Roman" w:hAnsi="Times New Roman" w:eastAsia="宋体"/>
                <w:b w:val="0"/>
                <w:i w:val="0"/>
                <w:sz w:val="18"/>
              </w:rPr>
              <w:t>+0.333 [0.271, 0.395]</w:t>
            </w:r>
          </w:p>
        </w:tc>
      </w:tr>
    </w:tbl>
    <w:p>
      <w:pPr>
        <w:spacing w:before="0" w:after="40"/>
      </w:pPr>
    </w:p>
    <w:p>
      <w:pPr>
        <w:spacing w:before="0" w:after="120"/>
      </w:pPr>
      <w:r>
        <w:rPr>
          <w:rFonts w:ascii="Times New Roman" w:hAnsi="Times New Roman" w:eastAsia="宋体"/>
          <w:b w:val="0"/>
          <w:i w:val="0"/>
          <w:sz w:val="21"/>
        </w:rPr>
        <w:t>要点：(1) 均匀 K=8 是最弱 K=8 策略（0.513/0.537），说明"有覆盖但无信息聚焦"不足；(2) 纯事件与混合 K=8 相当（0.609 vs 0.615），与第五节 E 一致——放电瞬态集中于事件高分区段，锚点主要提供覆盖回退；(3) 随机 K=8（0.579/0.601）相位级差异不显著（CI 含 0）但测量级显著（CI 排除 0），说明随机覆盖捕获部分事件信息，而事件聚焦在测量级融合上收益更明显；(4) 全信号基线使用约 12× MACs（755.3M vs 62.8M）、4.7× GPU 单样本延迟与更高显存，相位 PR-AUC 仍为 0.345——显著低于混合 K=8。因此，信息选择本身是诊断效率的关键设计变量，而非 CNN 结构（图 9）。全信号行刻意使用相同轻量架构以隔离采样变量；为超长序列设计的更强全信号模型不在本文范围。</w:t>
      </w:r>
    </w:p>
    <w:p>
      <w:pPr>
        <w:keepNext/>
        <w:spacing w:before="240" w:after="160"/>
      </w:pPr>
      <w:r>
        <w:rPr>
          <w:rFonts w:ascii="Times New Roman" w:hAnsi="Times New Roman" w:eastAsia="黑体"/>
          <w:b/>
          <w:i w:val="0"/>
          <w:color w:val="1F4D78"/>
          <w:sz w:val="24"/>
        </w:rPr>
        <w:t>H. 端到端测量到判决管线成本</w:t>
      </w:r>
    </w:p>
    <w:p>
      <w:pPr>
        <w:spacing w:before="0" w:after="120"/>
      </w:pPr>
      <w:r>
        <w:rPr>
          <w:rFonts w:ascii="Times New Roman" w:hAnsi="Times New Roman" w:eastAsia="宋体"/>
          <w:b w:val="0"/>
          <w:i w:val="0"/>
          <w:sz w:val="21"/>
        </w:rPr>
        <w:t>为避免夸大"实时检测 / 端到端 1.94 ms"，表 X 从 Stage-2 基准（合成 800k 三相信号，50 次重复，p50；同会话同平台）报告完整测量到判决管线的逐组件成本。窗口选择在 CPU 上运行；模型前向报告 CPU/GPU 单样本与 GPU 吞吐。</w:t>
      </w:r>
    </w:p>
    <w:p>
      <w:pPr>
        <w:spacing w:before="160" w:after="40"/>
      </w:pPr>
      <w:r>
        <w:rPr>
          <w:rFonts w:ascii="Times New Roman" w:hAnsi="Times New Roman" w:eastAsia="宋体"/>
          <w:b w:val="0"/>
          <w:i w:val="0"/>
          <w:sz w:val="18"/>
        </w:rPr>
        <w:t>表 X  端到端测量到判决管线成本（P50）</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阶段</w:t>
            </w:r>
          </w:p>
        </w:tc>
        <w:tc>
          <w:tcPr>
            <w:tcW w:type="dxa" w:w="3120"/>
            <w:vAlign w:val="center"/>
            <w:shd w:val="clear" w:fill="F4F6F9"/>
          </w:tcPr>
          <w:p>
            <w:pPr>
              <w:spacing w:after="40" w:before="40"/>
            </w:pPr>
            <w:r/>
            <w:r>
              <w:rPr>
                <w:rFonts w:ascii="Times New Roman" w:hAnsi="Times New Roman" w:eastAsia="宋体"/>
                <w:b/>
                <w:i w:val="0"/>
                <w:sz w:val="18"/>
              </w:rPr>
              <w:t>平台 / 批次</w:t>
            </w:r>
          </w:p>
        </w:tc>
        <w:tc>
          <w:tcPr>
            <w:tcW w:type="dxa" w:w="3120"/>
            <w:vAlign w:val="center"/>
            <w:shd w:val="clear" w:fill="F4F6F9"/>
          </w:tcPr>
          <w:p>
            <w:pPr>
              <w:spacing w:after="40" w:before="40"/>
            </w:pPr>
            <w:r/>
            <w:r>
              <w:rPr>
                <w:rFonts w:ascii="Times New Roman" w:hAnsi="Times New Roman" w:eastAsia="宋体"/>
                <w:b/>
                <w:i w:val="0"/>
                <w:sz w:val="18"/>
              </w:rPr>
              <w:t>p50</w:t>
            </w:r>
          </w:p>
        </w:tc>
      </w:tr>
      <w:tr>
        <w:tc>
          <w:tcPr>
            <w:tcW w:type="dxa" w:w="3120"/>
            <w:vAlign w:val="center"/>
          </w:tcPr>
          <w:p>
            <w:pPr>
              <w:spacing w:after="40" w:before="40"/>
            </w:pPr>
            <w:r/>
            <w:r>
              <w:rPr>
                <w:rFonts w:ascii="Times New Roman" w:hAnsi="Times New Roman" w:eastAsia="宋体"/>
                <w:b w:val="0"/>
                <w:i w:val="0"/>
                <w:sz w:val="18"/>
              </w:rPr>
              <w:t>事件分数（单相）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131.64 ms</w:t>
            </w:r>
          </w:p>
        </w:tc>
      </w:tr>
      <w:tr>
        <w:tc>
          <w:tcPr>
            <w:tcW w:type="dxa" w:w="3120"/>
            <w:vAlign w:val="center"/>
          </w:tcPr>
          <w:p>
            <w:pPr>
              <w:spacing w:after="40" w:before="40"/>
            </w:pPr>
            <w:r/>
            <w:r>
              <w:rPr>
                <w:rFonts w:ascii="Times New Roman" w:hAnsi="Times New Roman" w:eastAsia="宋体"/>
                <w:b w:val="0"/>
                <w:i w:val="0"/>
                <w:sz w:val="18"/>
              </w:rPr>
              <w:t>峰检测（单相）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36.35 ms</w:t>
            </w:r>
          </w:p>
        </w:tc>
      </w:tr>
      <w:tr>
        <w:tc>
          <w:tcPr>
            <w:tcW w:type="dxa" w:w="3120"/>
            <w:vAlign w:val="center"/>
          </w:tcPr>
          <w:p>
            <w:pPr>
              <w:spacing w:after="40" w:before="40"/>
            </w:pPr>
            <w:r/>
            <w:r>
              <w:rPr>
                <w:rFonts w:ascii="Times New Roman" w:hAnsi="Times New Roman" w:eastAsia="宋体"/>
                <w:b w:val="0"/>
                <w:i w:val="0"/>
                <w:sz w:val="18"/>
              </w:rPr>
              <w:t>均匀 K=8 选择（单相）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≈0.0 ms</w:t>
            </w:r>
          </w:p>
        </w:tc>
      </w:tr>
      <w:tr>
        <w:tc>
          <w:tcPr>
            <w:tcW w:type="dxa" w:w="3120"/>
            <w:vAlign w:val="center"/>
          </w:tcPr>
          <w:p>
            <w:pPr>
              <w:spacing w:after="40" w:before="40"/>
            </w:pPr>
            <w:r/>
            <w:r>
              <w:rPr>
                <w:rFonts w:ascii="Times New Roman" w:hAnsi="Times New Roman" w:eastAsia="宋体"/>
                <w:b w:val="0"/>
                <w:i w:val="0"/>
                <w:sz w:val="18"/>
              </w:rPr>
              <w:t>事件 K=8 选择（单相）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178.59 ms</w:t>
            </w:r>
          </w:p>
        </w:tc>
      </w:tr>
      <w:tr>
        <w:tc>
          <w:tcPr>
            <w:tcW w:type="dxa" w:w="3120"/>
            <w:vAlign w:val="center"/>
          </w:tcPr>
          <w:p>
            <w:pPr>
              <w:spacing w:after="40" w:before="40"/>
            </w:pPr>
            <w:r/>
            <w:r>
              <w:rPr>
                <w:rFonts w:ascii="Times New Roman" w:hAnsi="Times New Roman" w:eastAsia="宋体"/>
                <w:b w:val="0"/>
                <w:i w:val="0"/>
                <w:sz w:val="18"/>
              </w:rPr>
              <w:t>混合 K=8 选择（单相）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183.71 ms</w:t>
            </w:r>
          </w:p>
        </w:tc>
      </w:tr>
      <w:tr>
        <w:tc>
          <w:tcPr>
            <w:tcW w:type="dxa" w:w="3120"/>
            <w:vAlign w:val="center"/>
          </w:tcPr>
          <w:p>
            <w:pPr>
              <w:spacing w:after="40" w:before="40"/>
            </w:pPr>
            <w:r/>
            <w:r>
              <w:rPr>
                <w:rFonts w:ascii="Times New Roman" w:hAnsi="Times New Roman" w:eastAsia="宋体"/>
                <w:b w:val="0"/>
                <w:i w:val="0"/>
                <w:sz w:val="18"/>
              </w:rPr>
              <w:t>随机 K=8 选择（单相）</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≈0.02 ms</w:t>
            </w:r>
          </w:p>
        </w:tc>
      </w:tr>
      <w:tr>
        <w:tc>
          <w:tcPr>
            <w:tcW w:type="dxa" w:w="3120"/>
            <w:vAlign w:val="center"/>
          </w:tcPr>
          <w:p>
            <w:pPr>
              <w:spacing w:after="40" w:before="40"/>
            </w:pPr>
            <w:r/>
            <w:r>
              <w:rPr>
                <w:rFonts w:ascii="Times New Roman" w:hAnsi="Times New Roman" w:eastAsia="宋体"/>
                <w:b w:val="0"/>
                <w:i w:val="0"/>
                <w:sz w:val="18"/>
              </w:rPr>
              <w:t>混合 K=8 模型前向（鲁棒归一化+编码器+MIL+交互+输出）</w:t>
            </w:r>
          </w:p>
        </w:tc>
        <w:tc>
          <w:tcPr>
            <w:tcW w:type="dxa" w:w="3120"/>
            <w:vAlign w:val="center"/>
          </w:tcPr>
          <w:p>
            <w:pPr>
              <w:spacing w:after="40" w:before="40"/>
            </w:pPr>
            <w:r/>
            <w:r>
              <w:rPr>
                <w:rFonts w:ascii="Times New Roman" w:hAnsi="Times New Roman" w:eastAsia="宋体"/>
                <w:b w:val="0"/>
                <w:i w:val="0"/>
                <w:sz w:val="18"/>
              </w:rPr>
              <w:t>GPU batch=1</w:t>
            </w:r>
          </w:p>
        </w:tc>
        <w:tc>
          <w:tcPr>
            <w:tcW w:type="dxa" w:w="3120"/>
            <w:vAlign w:val="center"/>
          </w:tcPr>
          <w:p>
            <w:pPr>
              <w:spacing w:after="40" w:before="40"/>
            </w:pPr>
            <w:r/>
            <w:r>
              <w:rPr>
                <w:rFonts w:ascii="Times New Roman" w:hAnsi="Times New Roman" w:eastAsia="宋体"/>
                <w:b w:val="0"/>
                <w:i w:val="0"/>
                <w:sz w:val="18"/>
              </w:rPr>
              <w:t>5.35 ms</w:t>
            </w:r>
          </w:p>
        </w:tc>
      </w:tr>
      <w:tr>
        <w:tc>
          <w:tcPr>
            <w:tcW w:type="dxa" w:w="3120"/>
            <w:vAlign w:val="center"/>
          </w:tcPr>
          <w:p>
            <w:pPr>
              <w:spacing w:after="40" w:before="40"/>
            </w:pPr>
            <w:r/>
            <w:r>
              <w:rPr>
                <w:rFonts w:ascii="Times New Roman" w:hAnsi="Times New Roman" w:eastAsia="宋体"/>
                <w:b w:val="0"/>
                <w:i w:val="0"/>
                <w:sz w:val="18"/>
              </w:rPr>
              <w:t>混合 K=8 模型前向</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20.97 ms</w:t>
            </w:r>
          </w:p>
        </w:tc>
      </w:tr>
      <w:tr>
        <w:tc>
          <w:tcPr>
            <w:tcW w:type="dxa" w:w="3120"/>
            <w:vAlign w:val="center"/>
          </w:tcPr>
          <w:p>
            <w:pPr>
              <w:spacing w:after="40" w:before="40"/>
            </w:pPr>
            <w:r/>
            <w:r>
              <w:rPr>
                <w:rFonts w:ascii="Times New Roman" w:hAnsi="Times New Roman" w:eastAsia="宋体"/>
                <w:b w:val="0"/>
                <w:i w:val="0"/>
                <w:sz w:val="18"/>
              </w:rPr>
              <w:t>混合 K=8 模型前向（吞吐）</w:t>
            </w:r>
          </w:p>
        </w:tc>
        <w:tc>
          <w:tcPr>
            <w:tcW w:type="dxa" w:w="3120"/>
            <w:vAlign w:val="center"/>
          </w:tcPr>
          <w:p>
            <w:pPr>
              <w:spacing w:after="40" w:before="40"/>
            </w:pPr>
            <w:r/>
            <w:r>
              <w:rPr>
                <w:rFonts w:ascii="Times New Roman" w:hAnsi="Times New Roman" w:eastAsia="宋体"/>
                <w:b w:val="0"/>
                <w:i w:val="0"/>
                <w:sz w:val="18"/>
              </w:rPr>
              <w:t>GPU batch=64</w:t>
            </w:r>
          </w:p>
        </w:tc>
        <w:tc>
          <w:tcPr>
            <w:tcW w:type="dxa" w:w="3120"/>
            <w:vAlign w:val="center"/>
          </w:tcPr>
          <w:p>
            <w:pPr>
              <w:spacing w:after="40" w:before="40"/>
            </w:pPr>
            <w:r/>
            <w:r>
              <w:rPr>
                <w:rFonts w:ascii="Times New Roman" w:hAnsi="Times New Roman" w:eastAsia="宋体"/>
                <w:b w:val="0"/>
                <w:i w:val="0"/>
                <w:sz w:val="18"/>
              </w:rPr>
              <w:t>1.77 ms/测量</w:t>
            </w:r>
          </w:p>
        </w:tc>
      </w:tr>
      <w:tr>
        <w:tc>
          <w:tcPr>
            <w:tcW w:type="dxa" w:w="3120"/>
            <w:vAlign w:val="center"/>
          </w:tcPr>
          <w:p>
            <w:pPr>
              <w:spacing w:after="40" w:before="40"/>
            </w:pPr>
            <w:r/>
            <w:r>
              <w:rPr>
                <w:rFonts w:ascii="Times New Roman" w:hAnsi="Times New Roman" w:eastAsia="宋体"/>
                <w:b w:val="0"/>
                <w:i w:val="0"/>
                <w:sz w:val="18"/>
              </w:rPr>
              <w:t>全信号模型前向</w:t>
            </w:r>
          </w:p>
        </w:tc>
        <w:tc>
          <w:tcPr>
            <w:tcW w:type="dxa" w:w="3120"/>
            <w:vAlign w:val="center"/>
          </w:tcPr>
          <w:p>
            <w:pPr>
              <w:spacing w:after="40" w:before="40"/>
            </w:pPr>
            <w:r/>
            <w:r>
              <w:rPr>
                <w:rFonts w:ascii="Times New Roman" w:hAnsi="Times New Roman" w:eastAsia="宋体"/>
                <w:b w:val="0"/>
                <w:i w:val="0"/>
                <w:sz w:val="18"/>
              </w:rPr>
              <w:t>GPU batch=1</w:t>
            </w:r>
          </w:p>
        </w:tc>
        <w:tc>
          <w:tcPr>
            <w:tcW w:type="dxa" w:w="3120"/>
            <w:vAlign w:val="center"/>
          </w:tcPr>
          <w:p>
            <w:pPr>
              <w:spacing w:after="40" w:before="40"/>
            </w:pPr>
            <w:r/>
            <w:r>
              <w:rPr>
                <w:rFonts w:ascii="Times New Roman" w:hAnsi="Times New Roman" w:eastAsia="宋体"/>
                <w:b w:val="0"/>
                <w:i w:val="0"/>
                <w:sz w:val="18"/>
              </w:rPr>
              <w:t>25.35 ms</w:t>
            </w:r>
          </w:p>
        </w:tc>
      </w:tr>
      <w:tr>
        <w:tc>
          <w:tcPr>
            <w:tcW w:type="dxa" w:w="3120"/>
            <w:vAlign w:val="center"/>
          </w:tcPr>
          <w:p>
            <w:pPr>
              <w:spacing w:after="40" w:before="40"/>
            </w:pPr>
            <w:r/>
            <w:r>
              <w:rPr>
                <w:rFonts w:ascii="Times New Roman" w:hAnsi="Times New Roman" w:eastAsia="宋体"/>
                <w:b w:val="0"/>
                <w:i w:val="0"/>
                <w:sz w:val="18"/>
              </w:rPr>
              <w:t>全信号模型前向</w:t>
            </w:r>
          </w:p>
        </w:tc>
        <w:tc>
          <w:tcPr>
            <w:tcW w:type="dxa" w:w="3120"/>
            <w:vAlign w:val="center"/>
          </w:tcPr>
          <w:p>
            <w:pPr>
              <w:spacing w:after="40" w:before="40"/>
            </w:pPr>
            <w:r/>
            <w:r>
              <w:rPr>
                <w:rFonts w:ascii="Times New Roman" w:hAnsi="Times New Roman" w:eastAsia="宋体"/>
                <w:b w:val="0"/>
                <w:i w:val="0"/>
                <w:sz w:val="18"/>
              </w:rPr>
              <w:t>CPU batch=1</w:t>
            </w:r>
          </w:p>
        </w:tc>
        <w:tc>
          <w:tcPr>
            <w:tcW w:type="dxa" w:w="3120"/>
            <w:vAlign w:val="center"/>
          </w:tcPr>
          <w:p>
            <w:pPr>
              <w:spacing w:after="40" w:before="40"/>
            </w:pPr>
            <w:r/>
            <w:r>
              <w:rPr>
                <w:rFonts w:ascii="Times New Roman" w:hAnsi="Times New Roman" w:eastAsia="宋体"/>
                <w:b w:val="0"/>
                <w:i w:val="0"/>
                <w:sz w:val="18"/>
              </w:rPr>
              <w:t>379.96 ms</w:t>
            </w:r>
          </w:p>
        </w:tc>
      </w:tr>
      <w:tr>
        <w:tc>
          <w:tcPr>
            <w:tcW w:type="dxa" w:w="3120"/>
            <w:vAlign w:val="center"/>
          </w:tcPr>
          <w:p>
            <w:pPr>
              <w:spacing w:after="40" w:before="40"/>
            </w:pPr>
            <w:r/>
            <w:r>
              <w:rPr>
                <w:rFonts w:ascii="Times New Roman" w:hAnsi="Times New Roman" w:eastAsia="宋体"/>
                <w:b w:val="0"/>
                <w:i w:val="0"/>
                <w:sz w:val="18"/>
              </w:rPr>
              <w:t>全信号模型前向（吞吐）</w:t>
            </w:r>
          </w:p>
        </w:tc>
        <w:tc>
          <w:tcPr>
            <w:tcW w:type="dxa" w:w="3120"/>
            <w:vAlign w:val="center"/>
          </w:tcPr>
          <w:p>
            <w:pPr>
              <w:spacing w:after="40" w:before="40"/>
            </w:pPr>
            <w:r/>
            <w:r>
              <w:rPr>
                <w:rFonts w:ascii="Times New Roman" w:hAnsi="Times New Roman" w:eastAsia="宋体"/>
                <w:b w:val="0"/>
                <w:i w:val="0"/>
                <w:sz w:val="18"/>
              </w:rPr>
              <w:t>GPU batch=1</w:t>
            </w:r>
          </w:p>
        </w:tc>
        <w:tc>
          <w:tcPr>
            <w:tcW w:type="dxa" w:w="3120"/>
            <w:vAlign w:val="center"/>
          </w:tcPr>
          <w:p>
            <w:pPr>
              <w:spacing w:after="40" w:before="40"/>
            </w:pPr>
            <w:r/>
            <w:r>
              <w:rPr>
                <w:rFonts w:ascii="Times New Roman" w:hAnsi="Times New Roman" w:eastAsia="宋体"/>
                <w:b w:val="0"/>
                <w:i w:val="0"/>
                <w:sz w:val="18"/>
              </w:rPr>
              <w:t>21.78 ms/测量</w:t>
            </w:r>
          </w:p>
        </w:tc>
      </w:tr>
    </w:tbl>
    <w:p>
      <w:pPr>
        <w:spacing w:before="0" w:after="40"/>
      </w:pPr>
    </w:p>
    <w:p>
      <w:pPr>
        <w:spacing w:before="0" w:after="120"/>
      </w:pPr>
      <w:r>
        <w:rPr>
          <w:rFonts w:ascii="Times New Roman" w:hAnsi="Times New Roman" w:eastAsia="宋体"/>
          <w:b w:val="0"/>
          <w:i w:val="0"/>
          <w:sz w:val="21"/>
        </w:rPr>
        <w:t>混合 K=8 的逐组件分解（GPU/CPU，p50）：鲁棒归一化 2.85/7.98 ms、编码器 3.77/18.38 ms、MIL 0.49/0.19 ms、三相交互 0.39/0.25 ms、输出头 0.48/0.12 ms，合计 5.35/20.97 ms。全信号：鲁棒归一化 15.32/203.20 ms、编码器 25.00/383.60 ms，合计 25.35/379.96 ms。三点结论：(1) 采样阶段（混合策略约 184 ms/相）主导 CPU 管线，而 K=8 模型前向仅约 5.35 ms（GPU 单样本）；(2) 全信号模型使 MACs 增 12×、GPU 单样本延迟增 4.7×、CPU 单样本延迟增 18×、峰值显存从 92.4 MB 增至 184.0 MB；(3) 因此本文将效率表述限定为"仅处理信息片段以降低神经推理复杂度与数据处理需求"，不宣称实时检测，也不将模型前向延迟等同于端到端延迟。</w:t>
      </w:r>
    </w:p>
    <w:p>
      <w:pPr>
        <w:keepNext/>
        <w:spacing w:before="240" w:after="160"/>
      </w:pPr>
      <w:r>
        <w:rPr>
          <w:rFonts w:ascii="Times New Roman" w:hAnsi="Times New Roman" w:eastAsia="黑体"/>
          <w:b/>
          <w:i w:val="0"/>
          <w:color w:val="1F4D78"/>
          <w:sz w:val="24"/>
        </w:rPr>
        <w:t>I. 标注比例实验：量化标注成本优势</w:t>
      </w:r>
    </w:p>
    <w:p>
      <w:pPr>
        <w:spacing w:before="0" w:after="120"/>
      </w:pPr>
      <w:r>
        <w:rPr>
          <w:rFonts w:ascii="Times New Roman" w:hAnsi="Times New Roman" w:eastAsia="宋体"/>
          <w:b w:val="0"/>
          <w:i w:val="0"/>
          <w:sz w:val="21"/>
        </w:rPr>
        <w:t>为量化层级弱监督管线的标注成本收益——相位级监督的工业动机——本文以开发测量比例 f ∈ {5%, 10%, 20%, 50%} 随机保留相位标签训练 E4 主模型（标注按测量分组：选中测量的三相全部标注，未选中测量不提供标签），在相同 5 折协议与特征缓存下进行。20% 档在三个标注种子（42, 7, 2024）上重复；其余档用 seed 42（脚本 `l1_label_fraction.py`；输出 `results/label_fraction/`）。</w:t>
      </w:r>
    </w:p>
    <w:p>
      <w:pPr>
        <w:spacing w:before="160" w:after="40"/>
      </w:pPr>
      <w:r>
        <w:rPr>
          <w:rFonts w:ascii="Times New Roman" w:hAnsi="Times New Roman" w:eastAsia="宋体"/>
          <w:b w:val="0"/>
          <w:i w:val="0"/>
          <w:sz w:val="18"/>
        </w:rPr>
        <w:t>表 XI-A  标注比例实验（相位 PR-AUC，逐折均值；100% = 主模型参照）</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Times New Roman" w:hAnsi="Times New Roman" w:eastAsia="宋体"/>
                <w:b/>
                <w:i w:val="0"/>
                <w:sz w:val="18"/>
              </w:rPr>
              <w:t>标注比例</w:t>
            </w:r>
          </w:p>
        </w:tc>
        <w:tc>
          <w:tcPr>
            <w:tcW w:type="dxa" w:w="1872"/>
            <w:vAlign w:val="center"/>
            <w:shd w:val="clear" w:fill="F4F6F9"/>
          </w:tcPr>
          <w:p>
            <w:pPr>
              <w:spacing w:after="40" w:before="40"/>
            </w:pPr>
            <w:r/>
            <w:r>
              <w:rPr>
                <w:rFonts w:ascii="Times New Roman" w:hAnsi="Times New Roman" w:eastAsia="宋体"/>
                <w:b/>
                <w:i w:val="0"/>
                <w:sz w:val="18"/>
              </w:rPr>
              <w:t>标注测量数</w:t>
            </w:r>
          </w:p>
        </w:tc>
        <w:tc>
          <w:tcPr>
            <w:tcW w:type="dxa" w:w="1872"/>
            <w:vAlign w:val="center"/>
            <w:shd w:val="clear" w:fill="F4F6F9"/>
          </w:tcPr>
          <w:p>
            <w:pPr>
              <w:spacing w:after="40" w:before="40"/>
            </w:pPr>
            <w:r/>
            <w:r>
              <w:rPr>
                <w:rFonts w:ascii="Times New Roman" w:hAnsi="Times New Roman" w:eastAsia="宋体"/>
                <w:b/>
                <w:i w:val="0"/>
                <w:sz w:val="18"/>
              </w:rPr>
              <w:t>相位 PR-AUC（逐折均值）</w:t>
            </w:r>
          </w:p>
        </w:tc>
        <w:tc>
          <w:tcPr>
            <w:tcW w:type="dxa" w:w="1872"/>
            <w:vAlign w:val="center"/>
            <w:shd w:val="clear" w:fill="F4F6F9"/>
          </w:tcPr>
          <w:p>
            <w:pPr>
              <w:spacing w:after="40" w:before="40"/>
            </w:pPr>
            <w:r/>
            <w:r>
              <w:rPr>
                <w:rFonts w:ascii="Times New Roman" w:hAnsi="Times New Roman" w:eastAsia="宋体"/>
                <w:b/>
                <w:i w:val="0"/>
                <w:sz w:val="18"/>
              </w:rPr>
              <w:t>测量 PR-AUC</w:t>
            </w:r>
          </w:p>
        </w:tc>
        <w:tc>
          <w:tcPr>
            <w:tcW w:type="dxa" w:w="1872"/>
            <w:vAlign w:val="center"/>
            <w:shd w:val="clear" w:fill="F4F6F9"/>
          </w:tcPr>
          <w:p>
            <w:pPr>
              <w:spacing w:after="40" w:before="40"/>
            </w:pPr>
            <w:r/>
            <w:r>
              <w:rPr>
                <w:rFonts w:ascii="Times New Roman" w:hAnsi="Times New Roman" w:eastAsia="宋体"/>
                <w:b/>
                <w:i w:val="0"/>
                <w:sz w:val="18"/>
              </w:rPr>
              <w:t>全监督性能占比</w:t>
            </w:r>
          </w:p>
        </w:tc>
      </w:tr>
      <w:tr>
        <w:tc>
          <w:tcPr>
            <w:tcW w:type="dxa" w:w="1872"/>
            <w:vAlign w:val="center"/>
          </w:tcPr>
          <w:p>
            <w:pPr>
              <w:spacing w:after="40" w:before="40"/>
            </w:pPr>
            <w:r/>
            <w:r>
              <w:rPr>
                <w:rFonts w:ascii="Times New Roman" w:hAnsi="Times New Roman" w:eastAsia="宋体"/>
                <w:b w:val="0"/>
                <w:i w:val="0"/>
                <w:sz w:val="18"/>
              </w:rPr>
              <w:t>5%</w:t>
            </w:r>
          </w:p>
        </w:tc>
        <w:tc>
          <w:tcPr>
            <w:tcW w:type="dxa" w:w="1872"/>
            <w:vAlign w:val="center"/>
          </w:tcPr>
          <w:p>
            <w:pPr>
              <w:spacing w:after="40" w:before="40"/>
            </w:pPr>
            <w:r/>
            <w:r>
              <w:rPr>
                <w:rFonts w:ascii="Times New Roman" w:hAnsi="Times New Roman" w:eastAsia="宋体"/>
                <w:b w:val="0"/>
                <w:i w:val="0"/>
                <w:sz w:val="18"/>
              </w:rPr>
              <w:t>124</w:t>
            </w:r>
          </w:p>
        </w:tc>
        <w:tc>
          <w:tcPr>
            <w:tcW w:type="dxa" w:w="1872"/>
            <w:vAlign w:val="center"/>
          </w:tcPr>
          <w:p>
            <w:pPr>
              <w:spacing w:after="40" w:before="40"/>
            </w:pPr>
            <w:r/>
            <w:r>
              <w:rPr>
                <w:rFonts w:ascii="Times New Roman" w:hAnsi="Times New Roman" w:eastAsia="宋体"/>
                <w:b w:val="0"/>
                <w:i w:val="0"/>
                <w:sz w:val="18"/>
              </w:rPr>
              <w:t>0.272</w:t>
            </w:r>
          </w:p>
        </w:tc>
        <w:tc>
          <w:tcPr>
            <w:tcW w:type="dxa" w:w="1872"/>
            <w:vAlign w:val="center"/>
          </w:tcPr>
          <w:p>
            <w:pPr>
              <w:spacing w:after="40" w:before="40"/>
            </w:pPr>
            <w:r/>
            <w:r>
              <w:rPr>
                <w:rFonts w:ascii="Times New Roman" w:hAnsi="Times New Roman" w:eastAsia="宋体"/>
                <w:b w:val="0"/>
                <w:i w:val="0"/>
                <w:sz w:val="18"/>
              </w:rPr>
              <w:t>0.340</w:t>
            </w:r>
          </w:p>
        </w:tc>
        <w:tc>
          <w:tcPr>
            <w:tcW w:type="dxa" w:w="1872"/>
            <w:vAlign w:val="center"/>
          </w:tcPr>
          <w:p>
            <w:pPr>
              <w:spacing w:after="40" w:before="40"/>
            </w:pPr>
            <w:r/>
            <w:r>
              <w:rPr>
                <w:rFonts w:ascii="Times New Roman" w:hAnsi="Times New Roman" w:eastAsia="宋体"/>
                <w:b w:val="0"/>
                <w:i w:val="0"/>
                <w:sz w:val="18"/>
              </w:rPr>
              <w:t>44%</w:t>
            </w:r>
          </w:p>
        </w:tc>
      </w:tr>
      <w:tr>
        <w:tc>
          <w:tcPr>
            <w:tcW w:type="dxa" w:w="1872"/>
            <w:vAlign w:val="center"/>
          </w:tcPr>
          <w:p>
            <w:pPr>
              <w:spacing w:after="40" w:before="40"/>
            </w:pPr>
            <w:r/>
            <w:r>
              <w:rPr>
                <w:rFonts w:ascii="Times New Roman" w:hAnsi="Times New Roman" w:eastAsia="宋体"/>
                <w:b w:val="0"/>
                <w:i w:val="0"/>
                <w:sz w:val="18"/>
              </w:rPr>
              <w:t>10%</w:t>
            </w:r>
          </w:p>
        </w:tc>
        <w:tc>
          <w:tcPr>
            <w:tcW w:type="dxa" w:w="1872"/>
            <w:vAlign w:val="center"/>
          </w:tcPr>
          <w:p>
            <w:pPr>
              <w:spacing w:after="40" w:before="40"/>
            </w:pPr>
            <w:r/>
            <w:r>
              <w:rPr>
                <w:rFonts w:ascii="Times New Roman" w:hAnsi="Times New Roman" w:eastAsia="宋体"/>
                <w:b w:val="0"/>
                <w:i w:val="0"/>
                <w:sz w:val="18"/>
              </w:rPr>
              <w:t>248</w:t>
            </w:r>
          </w:p>
        </w:tc>
        <w:tc>
          <w:tcPr>
            <w:tcW w:type="dxa" w:w="1872"/>
            <w:vAlign w:val="center"/>
          </w:tcPr>
          <w:p>
            <w:pPr>
              <w:spacing w:after="40" w:before="40"/>
            </w:pPr>
            <w:r/>
            <w:r>
              <w:rPr>
                <w:rFonts w:ascii="Times New Roman" w:hAnsi="Times New Roman" w:eastAsia="宋体"/>
                <w:b w:val="0"/>
                <w:i w:val="0"/>
                <w:sz w:val="18"/>
              </w:rPr>
              <w:t>0.346</w:t>
            </w:r>
          </w:p>
        </w:tc>
        <w:tc>
          <w:tcPr>
            <w:tcW w:type="dxa" w:w="1872"/>
            <w:vAlign w:val="center"/>
          </w:tcPr>
          <w:p>
            <w:pPr>
              <w:spacing w:after="40" w:before="40"/>
            </w:pPr>
            <w:r/>
            <w:r>
              <w:rPr>
                <w:rFonts w:ascii="Times New Roman" w:hAnsi="Times New Roman" w:eastAsia="宋体"/>
                <w:b w:val="0"/>
                <w:i w:val="0"/>
                <w:sz w:val="18"/>
              </w:rPr>
              <w:t>0.396</w:t>
            </w:r>
          </w:p>
        </w:tc>
        <w:tc>
          <w:tcPr>
            <w:tcW w:type="dxa" w:w="1872"/>
            <w:vAlign w:val="center"/>
          </w:tcPr>
          <w:p>
            <w:pPr>
              <w:spacing w:after="40" w:before="40"/>
            </w:pPr>
            <w:r/>
            <w:r>
              <w:rPr>
                <w:rFonts w:ascii="Times New Roman" w:hAnsi="Times New Roman" w:eastAsia="宋体"/>
                <w:b w:val="0"/>
                <w:i w:val="0"/>
                <w:sz w:val="18"/>
              </w:rPr>
              <w:t>56%</w:t>
            </w:r>
          </w:p>
        </w:tc>
      </w:tr>
      <w:tr>
        <w:tc>
          <w:tcPr>
            <w:tcW w:type="dxa" w:w="1872"/>
            <w:vAlign w:val="center"/>
          </w:tcPr>
          <w:p>
            <w:pPr>
              <w:spacing w:after="40" w:before="40"/>
            </w:pPr>
            <w:r/>
            <w:r>
              <w:rPr>
                <w:rFonts w:ascii="Times New Roman" w:hAnsi="Times New Roman" w:eastAsia="宋体"/>
                <w:b w:val="0"/>
                <w:i w:val="0"/>
                <w:sz w:val="18"/>
              </w:rPr>
              <w:t>20%（3 个标注种子）</w:t>
            </w:r>
          </w:p>
        </w:tc>
        <w:tc>
          <w:tcPr>
            <w:tcW w:type="dxa" w:w="1872"/>
            <w:vAlign w:val="center"/>
          </w:tcPr>
          <w:p>
            <w:pPr>
              <w:spacing w:after="40" w:before="40"/>
            </w:pPr>
            <w:r/>
            <w:r>
              <w:rPr>
                <w:rFonts w:ascii="Times New Roman" w:hAnsi="Times New Roman" w:eastAsia="宋体"/>
                <w:b w:val="0"/>
                <w:i w:val="0"/>
                <w:sz w:val="18"/>
              </w:rPr>
              <w:t>496</w:t>
            </w:r>
          </w:p>
        </w:tc>
        <w:tc>
          <w:tcPr>
            <w:tcW w:type="dxa" w:w="1872"/>
            <w:vAlign w:val="center"/>
          </w:tcPr>
          <w:p>
            <w:pPr>
              <w:spacing w:after="40" w:before="40"/>
            </w:pPr>
            <w:r/>
            <w:r>
              <w:rPr>
                <w:rFonts w:ascii="Times New Roman" w:hAnsi="Times New Roman" w:eastAsia="宋体"/>
                <w:b w:val="0"/>
                <w:i w:val="0"/>
                <w:sz w:val="18"/>
              </w:rPr>
              <w:t>0.377 ± 0.021</w:t>
            </w:r>
          </w:p>
        </w:tc>
        <w:tc>
          <w:tcPr>
            <w:tcW w:type="dxa" w:w="1872"/>
            <w:vAlign w:val="center"/>
          </w:tcPr>
          <w:p>
            <w:pPr>
              <w:spacing w:after="40" w:before="40"/>
            </w:pPr>
            <w:r/>
            <w:r>
              <w:rPr>
                <w:rFonts w:ascii="Times New Roman" w:hAnsi="Times New Roman" w:eastAsia="宋体"/>
                <w:b w:val="0"/>
                <w:i w:val="0"/>
                <w:sz w:val="18"/>
              </w:rPr>
              <w:t>0.440</w:t>
            </w:r>
          </w:p>
        </w:tc>
        <w:tc>
          <w:tcPr>
            <w:tcW w:type="dxa" w:w="1872"/>
            <w:vAlign w:val="center"/>
          </w:tcPr>
          <w:p>
            <w:pPr>
              <w:spacing w:after="40" w:before="40"/>
            </w:pPr>
            <w:r/>
            <w:r>
              <w:rPr>
                <w:rFonts w:ascii="Times New Roman" w:hAnsi="Times New Roman" w:eastAsia="宋体"/>
                <w:b w:val="0"/>
                <w:i w:val="0"/>
                <w:sz w:val="18"/>
              </w:rPr>
              <w:t>61%</w:t>
            </w:r>
          </w:p>
        </w:tc>
      </w:tr>
      <w:tr>
        <w:tc>
          <w:tcPr>
            <w:tcW w:type="dxa" w:w="1872"/>
            <w:vAlign w:val="center"/>
          </w:tcPr>
          <w:p>
            <w:pPr>
              <w:spacing w:after="40" w:before="40"/>
            </w:pPr>
            <w:r/>
            <w:r>
              <w:rPr>
                <w:rFonts w:ascii="Times New Roman" w:hAnsi="Times New Roman" w:eastAsia="宋体"/>
                <w:b w:val="0"/>
                <w:i w:val="0"/>
                <w:sz w:val="18"/>
              </w:rPr>
              <w:t>50%</w:t>
            </w:r>
          </w:p>
        </w:tc>
        <w:tc>
          <w:tcPr>
            <w:tcW w:type="dxa" w:w="1872"/>
            <w:vAlign w:val="center"/>
          </w:tcPr>
          <w:p>
            <w:pPr>
              <w:spacing w:after="40" w:before="40"/>
            </w:pPr>
            <w:r/>
            <w:r>
              <w:rPr>
                <w:rFonts w:ascii="Times New Roman" w:hAnsi="Times New Roman" w:eastAsia="宋体"/>
                <w:b w:val="0"/>
                <w:i w:val="0"/>
                <w:sz w:val="18"/>
              </w:rPr>
              <w:t>1240</w:t>
            </w:r>
          </w:p>
        </w:tc>
        <w:tc>
          <w:tcPr>
            <w:tcW w:type="dxa" w:w="1872"/>
            <w:vAlign w:val="center"/>
          </w:tcPr>
          <w:p>
            <w:pPr>
              <w:spacing w:after="40" w:before="40"/>
            </w:pPr>
            <w:r/>
            <w:r>
              <w:rPr>
                <w:rFonts w:ascii="Times New Roman" w:hAnsi="Times New Roman" w:eastAsia="宋体"/>
                <w:b w:val="0"/>
                <w:i w:val="0"/>
                <w:sz w:val="18"/>
              </w:rPr>
              <w:t>0.542</w:t>
            </w:r>
          </w:p>
        </w:tc>
        <w:tc>
          <w:tcPr>
            <w:tcW w:type="dxa" w:w="1872"/>
            <w:vAlign w:val="center"/>
          </w:tcPr>
          <w:p>
            <w:pPr>
              <w:spacing w:after="40" w:before="40"/>
            </w:pPr>
            <w:r/>
            <w:r>
              <w:rPr>
                <w:rFonts w:ascii="Times New Roman" w:hAnsi="Times New Roman" w:eastAsia="宋体"/>
                <w:b w:val="0"/>
                <w:i w:val="0"/>
                <w:sz w:val="18"/>
              </w:rPr>
              <w:t>0.571</w:t>
            </w:r>
          </w:p>
        </w:tc>
        <w:tc>
          <w:tcPr>
            <w:tcW w:type="dxa" w:w="1872"/>
            <w:vAlign w:val="center"/>
          </w:tcPr>
          <w:p>
            <w:pPr>
              <w:spacing w:after="40" w:before="40"/>
            </w:pPr>
            <w:r/>
            <w:r>
              <w:rPr>
                <w:rFonts w:ascii="Times New Roman" w:hAnsi="Times New Roman" w:eastAsia="宋体"/>
                <w:b w:val="0"/>
                <w:i w:val="0"/>
                <w:sz w:val="18"/>
              </w:rPr>
              <w:t>88%</w:t>
            </w:r>
          </w:p>
        </w:tc>
      </w:tr>
      <w:tr>
        <w:tc>
          <w:tcPr>
            <w:tcW w:type="dxa" w:w="1872"/>
            <w:vAlign w:val="center"/>
          </w:tcPr>
          <w:p>
            <w:pPr>
              <w:spacing w:after="40" w:before="40"/>
            </w:pPr>
            <w:r/>
            <w:r>
              <w:rPr>
                <w:rFonts w:ascii="Times New Roman" w:hAnsi="Times New Roman" w:eastAsia="宋体"/>
                <w:b w:val="0"/>
                <w:i w:val="0"/>
                <w:sz w:val="18"/>
              </w:rPr>
              <w:t>100%（主模型）</w:t>
            </w:r>
          </w:p>
        </w:tc>
        <w:tc>
          <w:tcPr>
            <w:tcW w:type="dxa" w:w="1872"/>
            <w:vAlign w:val="center"/>
          </w:tcPr>
          <w:p>
            <w:pPr>
              <w:spacing w:after="40" w:before="40"/>
            </w:pPr>
            <w:r/>
            <w:r>
              <w:rPr>
                <w:rFonts w:ascii="Times New Roman" w:hAnsi="Times New Roman" w:eastAsia="宋体"/>
                <w:b w:val="0"/>
                <w:i w:val="0"/>
                <w:sz w:val="18"/>
              </w:rPr>
              <w:t>2481</w:t>
            </w:r>
          </w:p>
        </w:tc>
        <w:tc>
          <w:tcPr>
            <w:tcW w:type="dxa" w:w="1872"/>
            <w:vAlign w:val="center"/>
          </w:tcPr>
          <w:p>
            <w:pPr>
              <w:spacing w:after="40" w:before="40"/>
            </w:pPr>
            <w:r/>
            <w:r>
              <w:rPr>
                <w:rFonts w:ascii="Times New Roman" w:hAnsi="Times New Roman" w:eastAsia="宋体"/>
                <w:b w:val="0"/>
                <w:i w:val="0"/>
                <w:sz w:val="18"/>
              </w:rPr>
              <w:t>0.615 ± 0.053</w:t>
            </w:r>
          </w:p>
        </w:tc>
        <w:tc>
          <w:tcPr>
            <w:tcW w:type="dxa" w:w="1872"/>
            <w:vAlign w:val="center"/>
          </w:tcPr>
          <w:p>
            <w:pPr>
              <w:spacing w:after="40" w:before="40"/>
            </w:pPr>
            <w:r/>
            <w:r>
              <w:rPr>
                <w:rFonts w:ascii="Times New Roman" w:hAnsi="Times New Roman" w:eastAsia="宋体"/>
                <w:b w:val="0"/>
                <w:i w:val="0"/>
                <w:sz w:val="18"/>
              </w:rPr>
              <w:t>0.643</w:t>
            </w:r>
          </w:p>
        </w:tc>
        <w:tc>
          <w:tcPr>
            <w:tcW w:type="dxa" w:w="1872"/>
            <w:vAlign w:val="center"/>
          </w:tcPr>
          <w:p>
            <w:pPr>
              <w:spacing w:after="40" w:before="40"/>
            </w:pPr>
            <w:r/>
            <w:r>
              <w:rPr>
                <w:rFonts w:ascii="Times New Roman" w:hAnsi="Times New Roman" w:eastAsia="宋体"/>
                <w:b w:val="0"/>
                <w:i w:val="0"/>
                <w:sz w:val="18"/>
              </w:rPr>
              <w:t>100%</w:t>
            </w:r>
          </w:p>
        </w:tc>
      </w:tr>
    </w:tbl>
    <w:p>
      <w:pPr>
        <w:spacing w:before="0" w:after="40"/>
      </w:pPr>
    </w:p>
    <w:p>
      <w:pPr>
        <w:spacing w:before="0" w:after="120"/>
      </w:pPr>
      <w:r>
        <w:rPr>
          <w:rFonts w:ascii="Times New Roman" w:hAnsi="Times New Roman" w:eastAsia="宋体"/>
          <w:b w:val="0"/>
          <w:i w:val="0"/>
          <w:sz w:val="21"/>
        </w:rPr>
        <w:t>性能-标注曲线平滑单调且无饱和崩塌：仅 50% 相位标签时主模型保留全监督相位 PR-AUC 的 88%（0.542 vs 0.615），即使 10% 标签也获得 56%。20% 档在标注种子间稳定（±0.021）。这量化了弱监督设计的标注成本论点：覆盖感知采样已移除 91.8% 原始数据，层级弱监督进一步将标注负担降低约一半（以 88% 全监督性能换取）——经典检测器与全监督管线无法提供的测量与标注成本联合降低。</w:t>
      </w:r>
    </w:p>
    <w:p>
      <w:pPr>
        <w:keepNext/>
        <w:spacing w:before="240" w:after="160"/>
      </w:pPr>
      <w:r>
        <w:rPr>
          <w:rFonts w:ascii="Times New Roman" w:hAnsi="Times New Roman" w:eastAsia="黑体"/>
          <w:b/>
          <w:i w:val="0"/>
          <w:color w:val="1F4D78"/>
          <w:sz w:val="24"/>
        </w:rPr>
        <w:t>J. 独立测试：Harvard Dataverse 保留集</w:t>
      </w:r>
    </w:p>
    <w:p>
      <w:pPr>
        <w:spacing w:before="0" w:after="120"/>
      </w:pPr>
      <w:r>
        <w:rPr>
          <w:rFonts w:ascii="Times New Roman" w:hAnsi="Times New Roman" w:eastAsia="宋体"/>
          <w:b w:val="0"/>
          <w:i w:val="0"/>
          <w:sz w:val="21"/>
        </w:rPr>
        <w:t>#### J.1 协议</w:t>
      </w:r>
    </w:p>
    <w:p>
      <w:pPr>
        <w:spacing w:before="0" w:after="120"/>
      </w:pPr>
      <w:r>
        <w:rPr>
          <w:rFonts w:ascii="Times New Roman" w:hAnsi="Times New Roman" w:eastAsia="宋体"/>
          <w:b w:val="0"/>
          <w:i w:val="0"/>
          <w:sz w:val="21"/>
        </w:rPr>
        <w:t>独立分块（83,233 个相位信号；28,285 个测量；1,308 个阳性，1.57%）在下载前锁定（归档、成员列表、特征向量与标签表的 SHA-256 哈希写入协议锁），E4 模型从 seed-42 5 折开发训练重新初始化（与主模型相同架构与协议），冻结模型一次性评估（5 折平均概率，混合 K=8 窗口），运行锁拒绝任何二次评估。</w:t>
      </w:r>
    </w:p>
    <w:p>
      <w:pPr>
        <w:spacing w:before="0" w:after="120"/>
      </w:pPr>
      <w:r>
        <w:rPr>
          <w:rFonts w:ascii="Times New Roman" w:hAnsi="Times New Roman" w:eastAsia="宋体"/>
          <w:b w:val="0"/>
          <w:i w:val="0"/>
          <w:sz w:val="21"/>
        </w:rPr>
        <w:t>#### J.2 结果</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fill="F4F6F9"/>
          </w:tcPr>
          <w:p>
            <w:pPr>
              <w:spacing w:after="40" w:before="40"/>
            </w:pPr>
            <w:r/>
            <w:r>
              <w:rPr>
                <w:rFonts w:ascii="Times New Roman" w:hAnsi="Times New Roman" w:eastAsia="宋体"/>
                <w:b/>
                <w:i w:val="0"/>
                <w:sz w:val="18"/>
              </w:rPr>
              <w:t>指标</w:t>
            </w:r>
          </w:p>
        </w:tc>
        <w:tc>
          <w:tcPr>
            <w:tcW w:type="dxa" w:w="2340"/>
            <w:vAlign w:val="center"/>
            <w:shd w:val="clear" w:fill="F4F6F9"/>
          </w:tcPr>
          <w:p>
            <w:pPr>
              <w:spacing w:after="40" w:before="40"/>
            </w:pPr>
            <w:r/>
            <w:r>
              <w:rPr>
                <w:rFonts w:ascii="Times New Roman" w:hAnsi="Times New Roman" w:eastAsia="宋体"/>
                <w:b/>
                <w:i w:val="0"/>
                <w:sz w:val="18"/>
              </w:rPr>
              <w:t>相位级（标签 &gt; 0）</w:t>
            </w:r>
          </w:p>
        </w:tc>
        <w:tc>
          <w:tcPr>
            <w:tcW w:type="dxa" w:w="2340"/>
            <w:vAlign w:val="center"/>
            <w:shd w:val="clear" w:fill="F4F6F9"/>
          </w:tcPr>
          <w:p>
            <w:pPr>
              <w:spacing w:after="40" w:before="40"/>
            </w:pPr>
            <w:r/>
            <w:r>
              <w:rPr>
                <w:rFonts w:ascii="Times New Roman" w:hAnsi="Times New Roman" w:eastAsia="宋体"/>
                <w:b/>
                <w:i w:val="0"/>
                <w:sz w:val="18"/>
              </w:rPr>
              <w:t>相位级（接触类 1/2/5/6）</w:t>
            </w:r>
          </w:p>
        </w:tc>
        <w:tc>
          <w:tcPr>
            <w:tcW w:type="dxa" w:w="2340"/>
            <w:vAlign w:val="center"/>
            <w:shd w:val="clear" w:fill="F4F6F9"/>
          </w:tcPr>
          <w:p>
            <w:pPr>
              <w:spacing w:after="40" w:before="40"/>
            </w:pPr>
            <w:r/>
            <w:r>
              <w:rPr>
                <w:rFonts w:ascii="Times New Roman" w:hAnsi="Times New Roman" w:eastAsia="宋体"/>
                <w:b/>
                <w:i w:val="0"/>
                <w:sz w:val="18"/>
              </w:rPr>
              <w:t>测量级（完整三拍）</w:t>
            </w:r>
          </w:p>
        </w:tc>
      </w:tr>
      <w:tr>
        <w:tc>
          <w:tcPr>
            <w:tcW w:type="dxa" w:w="2340"/>
            <w:vAlign w:val="center"/>
          </w:tcPr>
          <w:p>
            <w:pPr>
              <w:spacing w:after="40" w:before="40"/>
            </w:pPr>
            <w:r/>
            <w:r>
              <w:rPr>
                <w:rFonts w:ascii="Times New Roman" w:hAnsi="Times New Roman" w:eastAsia="宋体"/>
                <w:b w:val="0"/>
                <w:i w:val="0"/>
                <w:sz w:val="18"/>
              </w:rPr>
              <w:t>PR-AUC</w:t>
            </w:r>
          </w:p>
        </w:tc>
        <w:tc>
          <w:tcPr>
            <w:tcW w:type="dxa" w:w="2340"/>
            <w:vAlign w:val="center"/>
          </w:tcPr>
          <w:p>
            <w:pPr>
              <w:spacing w:after="40" w:before="40"/>
            </w:pPr>
            <w:r/>
            <w:r>
              <w:rPr>
                <w:rFonts w:ascii="Times New Roman" w:hAnsi="Times New Roman" w:eastAsia="宋体"/>
                <w:b w:val="0"/>
                <w:i w:val="0"/>
                <w:sz w:val="18"/>
              </w:rPr>
              <w:t>0.216</w:t>
            </w:r>
          </w:p>
        </w:tc>
        <w:tc>
          <w:tcPr>
            <w:tcW w:type="dxa" w:w="2340"/>
            <w:vAlign w:val="center"/>
          </w:tcPr>
          <w:p>
            <w:pPr>
              <w:spacing w:after="40" w:before="40"/>
            </w:pPr>
            <w:r/>
            <w:r>
              <w:rPr>
                <w:rFonts w:ascii="Times New Roman" w:hAnsi="Times New Roman" w:eastAsia="宋体"/>
                <w:b w:val="0"/>
                <w:i w:val="0"/>
                <w:sz w:val="18"/>
              </w:rPr>
              <w:t>0.181</w:t>
            </w:r>
          </w:p>
        </w:tc>
        <w:tc>
          <w:tcPr>
            <w:tcW w:type="dxa" w:w="2340"/>
            <w:vAlign w:val="center"/>
          </w:tcPr>
          <w:p>
            <w:pPr>
              <w:spacing w:after="40" w:before="40"/>
            </w:pPr>
            <w:r/>
            <w:r>
              <w:rPr>
                <w:rFonts w:ascii="Times New Roman" w:hAnsi="Times New Roman" w:eastAsia="宋体"/>
                <w:b w:val="0"/>
                <w:i w:val="0"/>
                <w:sz w:val="18"/>
              </w:rPr>
              <w:t>0.495</w:t>
            </w:r>
          </w:p>
        </w:tc>
      </w:tr>
      <w:tr>
        <w:tc>
          <w:tcPr>
            <w:tcW w:type="dxa" w:w="2340"/>
            <w:vAlign w:val="center"/>
          </w:tcPr>
          <w:p>
            <w:pPr>
              <w:spacing w:after="40" w:before="40"/>
            </w:pPr>
            <w:r/>
            <w:r>
              <w:rPr>
                <w:rFonts w:ascii="Times New Roman" w:hAnsi="Times New Roman" w:eastAsia="宋体"/>
                <w:b w:val="0"/>
                <w:i w:val="0"/>
                <w:sz w:val="18"/>
              </w:rPr>
              <w:t>ROC-AUC</w:t>
            </w:r>
          </w:p>
        </w:tc>
        <w:tc>
          <w:tcPr>
            <w:tcW w:type="dxa" w:w="2340"/>
            <w:vAlign w:val="center"/>
          </w:tcPr>
          <w:p>
            <w:pPr>
              <w:spacing w:after="40" w:before="40"/>
            </w:pPr>
            <w:r/>
            <w:r>
              <w:rPr>
                <w:rFonts w:ascii="Times New Roman" w:hAnsi="Times New Roman" w:eastAsia="宋体"/>
                <w:b w:val="0"/>
                <w:i w:val="0"/>
                <w:sz w:val="18"/>
              </w:rPr>
              <w:t>0.899</w:t>
            </w:r>
          </w:p>
        </w:tc>
        <w:tc>
          <w:tcPr>
            <w:tcW w:type="dxa" w:w="2340"/>
            <w:vAlign w:val="center"/>
          </w:tcPr>
          <w:p>
            <w:pPr>
              <w:spacing w:after="40" w:before="40"/>
            </w:pPr>
            <w:r/>
            <w:r>
              <w:rPr>
                <w:rFonts w:ascii="Times New Roman" w:hAnsi="Times New Roman" w:eastAsia="宋体"/>
                <w:b w:val="0"/>
                <w:i w:val="0"/>
                <w:sz w:val="18"/>
              </w:rPr>
              <w:t>0.894</w:t>
            </w:r>
          </w:p>
        </w:tc>
        <w:tc>
          <w:tcPr>
            <w:tcW w:type="dxa" w:w="2340"/>
            <w:vAlign w:val="center"/>
          </w:tcPr>
          <w:p>
            <w:pPr>
              <w:spacing w:after="40" w:before="40"/>
            </w:pPr>
            <w:r/>
            <w:r>
              <w:rPr>
                <w:rFonts w:ascii="Times New Roman" w:hAnsi="Times New Roman" w:eastAsia="宋体"/>
                <w:b w:val="0"/>
                <w:i w:val="0"/>
                <w:sz w:val="18"/>
              </w:rPr>
              <w:t>0.957</w:t>
            </w:r>
          </w:p>
        </w:tc>
      </w:tr>
      <w:tr>
        <w:tc>
          <w:tcPr>
            <w:tcW w:type="dxa" w:w="2340"/>
            <w:vAlign w:val="center"/>
          </w:tcPr>
          <w:p>
            <w:pPr>
              <w:spacing w:after="40" w:before="40"/>
            </w:pPr>
            <w:r/>
            <w:r>
              <w:rPr>
                <w:rFonts w:ascii="Times New Roman" w:hAnsi="Times New Roman" w:eastAsia="宋体"/>
                <w:b w:val="0"/>
                <w:i w:val="0"/>
                <w:sz w:val="18"/>
              </w:rPr>
              <w:t>MCC</w:t>
            </w:r>
          </w:p>
        </w:tc>
        <w:tc>
          <w:tcPr>
            <w:tcW w:type="dxa" w:w="2340"/>
            <w:vAlign w:val="center"/>
          </w:tcPr>
          <w:p>
            <w:pPr>
              <w:spacing w:after="40" w:before="40"/>
            </w:pPr>
            <w:r/>
            <w:r>
              <w:rPr>
                <w:rFonts w:ascii="Times New Roman" w:hAnsi="Times New Roman" w:eastAsia="宋体"/>
                <w:b w:val="0"/>
                <w:i w:val="0"/>
                <w:sz w:val="18"/>
              </w:rPr>
              <w:t>0.224</w:t>
            </w:r>
          </w:p>
        </w:tc>
        <w:tc>
          <w:tcPr>
            <w:tcW w:type="dxa" w:w="2340"/>
            <w:vAlign w:val="center"/>
          </w:tcPr>
          <w:p>
            <w:pPr>
              <w:spacing w:after="40" w:before="40"/>
            </w:pPr>
            <w:r/>
            <w:r>
              <w:rPr>
                <w:rFonts w:ascii="Times New Roman" w:hAnsi="Times New Roman" w:eastAsia="宋体"/>
                <w:b w:val="0"/>
                <w:i w:val="0"/>
                <w:sz w:val="18"/>
              </w:rPr>
              <w:t>0.195</w:t>
            </w:r>
          </w:p>
        </w:tc>
        <w:tc>
          <w:tcPr>
            <w:tcW w:type="dxa" w:w="2340"/>
            <w:vAlign w:val="center"/>
          </w:tcPr>
          <w:p>
            <w:pPr>
              <w:spacing w:after="40" w:before="40"/>
            </w:pPr>
            <w:r/>
            <w:r>
              <w:rPr>
                <w:rFonts w:ascii="Times New Roman" w:hAnsi="Times New Roman" w:eastAsia="宋体"/>
                <w:b w:val="0"/>
                <w:i w:val="0"/>
                <w:sz w:val="18"/>
              </w:rPr>
              <w:t>0.000</w:t>
            </w:r>
          </w:p>
        </w:tc>
      </w:tr>
      <w:tr>
        <w:tc>
          <w:tcPr>
            <w:tcW w:type="dxa" w:w="2340"/>
            <w:vAlign w:val="center"/>
          </w:tcPr>
          <w:p>
            <w:pPr>
              <w:spacing w:after="40" w:before="40"/>
            </w:pPr>
            <w:r/>
            <w:r>
              <w:rPr>
                <w:rFonts w:ascii="Times New Roman" w:hAnsi="Times New Roman" w:eastAsia="宋体"/>
                <w:b w:val="0"/>
                <w:i w:val="0"/>
                <w:sz w:val="18"/>
              </w:rPr>
              <w:t>F1</w:t>
            </w:r>
          </w:p>
        </w:tc>
        <w:tc>
          <w:tcPr>
            <w:tcW w:type="dxa" w:w="2340"/>
            <w:vAlign w:val="center"/>
          </w:tcPr>
          <w:p>
            <w:pPr>
              <w:spacing w:after="40" w:before="40"/>
            </w:pPr>
            <w:r/>
            <w:r>
              <w:rPr>
                <w:rFonts w:ascii="Times New Roman" w:hAnsi="Times New Roman" w:eastAsia="宋体"/>
                <w:b w:val="0"/>
                <w:i w:val="0"/>
                <w:sz w:val="18"/>
              </w:rPr>
              <w:t>0.192</w:t>
            </w:r>
          </w:p>
        </w:tc>
        <w:tc>
          <w:tcPr>
            <w:tcW w:type="dxa" w:w="2340"/>
            <w:vAlign w:val="center"/>
          </w:tcPr>
          <w:p>
            <w:pPr>
              <w:spacing w:after="40" w:before="40"/>
            </w:pPr>
            <w:r/>
            <w:r>
              <w:rPr>
                <w:rFonts w:ascii="Times New Roman" w:hAnsi="Times New Roman" w:eastAsia="宋体"/>
                <w:b w:val="0"/>
                <w:i w:val="0"/>
                <w:sz w:val="18"/>
              </w:rPr>
              <w:t>0.170</w:t>
            </w:r>
          </w:p>
        </w:tc>
        <w:tc>
          <w:tcPr>
            <w:tcW w:type="dxa" w:w="2340"/>
            <w:vAlign w:val="center"/>
          </w:tcPr>
          <w:p>
            <w:pPr>
              <w:spacing w:after="40" w:before="40"/>
            </w:pPr>
            <w:r/>
            <w:r>
              <w:rPr>
                <w:rFonts w:ascii="Times New Roman" w:hAnsi="Times New Roman" w:eastAsia="宋体"/>
                <w:b w:val="0"/>
                <w:i w:val="0"/>
                <w:sz w:val="18"/>
              </w:rPr>
              <w:t>0.000</w:t>
            </w:r>
          </w:p>
        </w:tc>
      </w:tr>
      <w:tr>
        <w:tc>
          <w:tcPr>
            <w:tcW w:type="dxa" w:w="2340"/>
            <w:vAlign w:val="center"/>
          </w:tcPr>
          <w:p>
            <w:pPr>
              <w:spacing w:after="40" w:before="40"/>
            </w:pPr>
            <w:r/>
            <w:r>
              <w:rPr>
                <w:rFonts w:ascii="Times New Roman" w:hAnsi="Times New Roman" w:eastAsia="宋体"/>
                <w:b w:val="0"/>
                <w:i w:val="0"/>
                <w:sz w:val="18"/>
              </w:rPr>
              <w:t>ECE</w:t>
            </w:r>
          </w:p>
        </w:tc>
        <w:tc>
          <w:tcPr>
            <w:tcW w:type="dxa" w:w="2340"/>
            <w:vAlign w:val="center"/>
          </w:tcPr>
          <w:p>
            <w:pPr>
              <w:spacing w:after="40" w:before="40"/>
            </w:pPr>
            <w:r/>
            <w:r>
              <w:rPr>
                <w:rFonts w:ascii="Times New Roman" w:hAnsi="Times New Roman" w:eastAsia="宋体"/>
                <w:b w:val="0"/>
                <w:i w:val="0"/>
                <w:sz w:val="18"/>
              </w:rPr>
              <w:t>0.007</w:t>
            </w:r>
          </w:p>
        </w:tc>
        <w:tc>
          <w:tcPr>
            <w:tcW w:type="dxa" w:w="2340"/>
            <w:vAlign w:val="center"/>
          </w:tcPr>
          <w:p>
            <w:pPr>
              <w:spacing w:after="40" w:before="40"/>
            </w:pPr>
            <w:r/>
            <w:r>
              <w:rPr>
                <w:rFonts w:ascii="Times New Roman" w:hAnsi="Times New Roman" w:eastAsia="宋体"/>
                <w:b w:val="0"/>
                <w:i w:val="0"/>
                <w:sz w:val="18"/>
              </w:rPr>
              <w:t>0.008</w:t>
            </w:r>
          </w:p>
        </w:tc>
        <w:tc>
          <w:tcPr>
            <w:tcW w:type="dxa" w:w="2340"/>
            <w:vAlign w:val="center"/>
          </w:tcPr>
          <w:p>
            <w:pPr>
              <w:spacing w:after="40" w:before="40"/>
            </w:pPr>
            <w:r/>
            <w:r>
              <w:rPr>
                <w:rFonts w:ascii="Times New Roman" w:hAnsi="Times New Roman" w:eastAsia="宋体"/>
                <w:b w:val="0"/>
                <w:i w:val="0"/>
                <w:sz w:val="18"/>
              </w:rPr>
              <w:t>0.023</w:t>
            </w:r>
          </w:p>
        </w:tc>
      </w:tr>
      <w:tr>
        <w:tc>
          <w:tcPr>
            <w:tcW w:type="dxa" w:w="2340"/>
            <w:vAlign w:val="center"/>
          </w:tcPr>
          <w:p>
            <w:pPr>
              <w:spacing w:after="40" w:before="40"/>
            </w:pPr>
            <w:r/>
            <w:r>
              <w:rPr>
                <w:rFonts w:ascii="Times New Roman" w:hAnsi="Times New Roman" w:eastAsia="宋体"/>
                <w:b w:val="0"/>
                <w:i w:val="0"/>
                <w:sz w:val="18"/>
              </w:rPr>
              <w:t>Brier</w:t>
            </w:r>
          </w:p>
        </w:tc>
        <w:tc>
          <w:tcPr>
            <w:tcW w:type="dxa" w:w="2340"/>
            <w:vAlign w:val="center"/>
          </w:tcPr>
          <w:p>
            <w:pPr>
              <w:spacing w:after="40" w:before="40"/>
            </w:pPr>
            <w:r/>
            <w:r>
              <w:rPr>
                <w:rFonts w:ascii="Times New Roman" w:hAnsi="Times New Roman" w:eastAsia="宋体"/>
                <w:b w:val="0"/>
                <w:i w:val="0"/>
                <w:sz w:val="18"/>
              </w:rPr>
              <w:t>0.014</w:t>
            </w:r>
          </w:p>
        </w:tc>
        <w:tc>
          <w:tcPr>
            <w:tcW w:type="dxa" w:w="2340"/>
            <w:vAlign w:val="center"/>
          </w:tcPr>
          <w:p>
            <w:pPr>
              <w:spacing w:after="40" w:before="40"/>
            </w:pPr>
            <w:r/>
            <w:r>
              <w:rPr>
                <w:rFonts w:ascii="Times New Roman" w:hAnsi="Times New Roman" w:eastAsia="宋体"/>
                <w:b w:val="0"/>
                <w:i w:val="0"/>
                <w:sz w:val="18"/>
              </w:rPr>
              <w:t>0.014</w:t>
            </w:r>
          </w:p>
        </w:tc>
        <w:tc>
          <w:tcPr>
            <w:tcW w:type="dxa" w:w="2340"/>
            <w:vAlign w:val="center"/>
          </w:tcPr>
          <w:p>
            <w:pPr>
              <w:spacing w:after="40" w:before="40"/>
            </w:pPr>
            <w:r/>
            <w:r>
              <w:rPr>
                <w:rFonts w:ascii="Times New Roman" w:hAnsi="Times New Roman" w:eastAsia="宋体"/>
                <w:b w:val="0"/>
                <w:i w:val="0"/>
                <w:sz w:val="18"/>
              </w:rPr>
              <w:t>0.026</w:t>
            </w:r>
          </w:p>
        </w:tc>
      </w:tr>
    </w:tbl>
    <w:p>
      <w:pPr>
        <w:spacing w:before="0" w:after="40"/>
      </w:pPr>
    </w:p>
    <w:p>
      <w:pPr>
        <w:spacing w:before="0" w:after="120"/>
      </w:pPr>
      <w:r>
        <w:rPr>
          <w:rFonts w:ascii="Times New Roman" w:hAnsi="Times New Roman" w:eastAsia="宋体"/>
          <w:b w:val="0"/>
          <w:i w:val="0"/>
          <w:sz w:val="21"/>
        </w:rPr>
        <w:t>省略准确率：1.57% 阳性率下多数类基线已达 0.984，准确率无信息量。Bootstrap 95% CI（按测量聚类，2,000 次）：相位级 PR-AUC [0.199, 0.234]；测量级 [0.196, 0.833]——仅存在 120 个完整三拍测量，其中 4 个阳性，因此测量级数字为探索性证据，CI 极宽，无法进行可靠的点估计比较。</w:t>
      </w:r>
    </w:p>
    <w:p>
      <w:pPr>
        <w:spacing w:before="0" w:after="120"/>
      </w:pPr>
      <w:r>
        <w:rPr>
          <w:rFonts w:ascii="Times New Roman" w:hAnsi="Times New Roman" w:eastAsia="宋体"/>
          <w:b/>
          <w:i w:val="0"/>
          <w:sz w:val="21"/>
        </w:rPr>
        <w:t>测量级结论的统计功效</w:t>
      </w:r>
      <w:r>
        <w:rPr>
          <w:rFonts w:ascii="Times New Roman" w:hAnsi="Times New Roman" w:eastAsia="宋体"/>
          <w:b w:val="0"/>
          <w:i w:val="0"/>
          <w:sz w:val="21"/>
        </w:rPr>
        <w:t>：为将测量级数字的探索性以定量而非定性方式表达，我们根据观测到的测量级 bootstrap 分布校准 80% 功效（α = 0.05）下最小可分辨 PR-AUC 差异：4 个阳性完整三拍（Harvard）时最小可分辨差异 ≈0.57——任何现实效应均不可分辨，故保留集上的测量级陈述严格为探索性；约 31 个阳性测量（IR 集 / 423 盲测）时 ≈0.21；开发集 163 个阳性测量时 ≈0.09（脚本 `e4_power_analysis.py`；输出 `results/power_analysis/`）。报告此量化是为了让读者不过度解读小阳性计数分块上的测量级点估计。</w:t>
      </w:r>
    </w:p>
    <w:p>
      <w:pPr>
        <w:spacing w:before="0" w:after="120"/>
      </w:pPr>
      <w:r>
        <w:rPr>
          <w:rFonts w:ascii="Times New Roman" w:hAnsi="Times New Roman" w:eastAsia="宋体"/>
          <w:b w:val="0"/>
          <w:i w:val="0"/>
          <w:sz w:val="21"/>
        </w:rPr>
        <w:t>#### J.3 分析</w:t>
      </w:r>
    </w:p>
    <w:p>
      <w:pPr>
        <w:spacing w:before="0" w:after="120"/>
      </w:pPr>
      <w:r>
        <w:rPr>
          <w:rFonts w:ascii="Times New Roman" w:hAnsi="Times New Roman" w:eastAsia="宋体"/>
          <w:b w:val="0"/>
          <w:i w:val="0"/>
          <w:sz w:val="21"/>
        </w:rPr>
        <w:t>四点互补论证表明独立集上较低的 PR-AUC 反映阳性率而非模型退化：</w:t>
      </w:r>
    </w:p>
    <w:p>
      <w:pPr>
        <w:spacing w:before="0" w:after="60"/>
        <w:ind w:left="360"/>
      </w:pPr>
      <w:r>
        <w:rPr>
          <w:rFonts w:ascii="Times New Roman" w:hAnsi="Times New Roman" w:eastAsia="宋体"/>
          <w:b/>
          <w:i w:val="0"/>
          <w:sz w:val="21"/>
        </w:rPr>
        <w:t>结构上限</w:t>
      </w:r>
      <w:r>
        <w:rPr>
          <w:rFonts w:ascii="Times New Roman" w:hAnsi="Times New Roman" w:eastAsia="宋体"/>
          <w:b w:val="0"/>
          <w:i w:val="0"/>
          <w:sz w:val="21"/>
        </w:rPr>
        <w:t>：PR-AUC 对阳性率敏感；1.57% 下可达的精确率-召回曲线相对 5.9% 结构性受限。相位级 ROC-AUC 0.899 确认排序能力在相同数据源的非重叠块上保持。</w:t>
      </w:r>
    </w:p>
    <w:p>
      <w:pPr>
        <w:spacing w:before="0" w:after="60"/>
        <w:ind w:left="360"/>
      </w:pPr>
      <w:r>
        <w:rPr>
          <w:rFonts w:ascii="Times New Roman" w:hAnsi="Times New Roman" w:eastAsia="宋体"/>
          <w:b/>
          <w:i w:val="0"/>
          <w:sz w:val="21"/>
        </w:rPr>
        <w:t>阳性率归一化提升</w:t>
      </w:r>
      <w:r>
        <w:rPr>
          <w:rFonts w:ascii="Times New Roman" w:hAnsi="Times New Roman" w:eastAsia="宋体"/>
          <w:b w:val="0"/>
          <w:i w:val="0"/>
          <w:sz w:val="21"/>
        </w:rPr>
        <w:t xml:space="preserve">：以随机基线（阳性率）归一化 PR-AUC，保留集为 0.216/0.0157 ≈ </w:t>
      </w:r>
      <w:r>
        <w:rPr>
          <w:rFonts w:ascii="Times New Roman" w:hAnsi="Times New Roman" w:eastAsia="宋体"/>
          <w:b/>
          <w:i w:val="0"/>
          <w:sz w:val="21"/>
        </w:rPr>
        <w:t>13.8×</w:t>
      </w:r>
      <w:r>
        <w:rPr>
          <w:rFonts w:ascii="Times New Roman" w:hAnsi="Times New Roman" w:eastAsia="宋体"/>
          <w:b w:val="0"/>
          <w:i w:val="0"/>
          <w:sz w:val="21"/>
        </w:rPr>
        <w:t xml:space="preserve">，开发集为 0.615/0.0595 ≈ </w:t>
      </w:r>
      <w:r>
        <w:rPr>
          <w:rFonts w:ascii="Times New Roman" w:hAnsi="Times New Roman" w:eastAsia="宋体"/>
          <w:b/>
          <w:i w:val="0"/>
          <w:sz w:val="21"/>
        </w:rPr>
        <w:t>10.3×</w:t>
      </w:r>
      <w:r>
        <w:rPr>
          <w:rFonts w:ascii="Times New Roman" w:hAnsi="Times New Roman" w:eastAsia="宋体"/>
          <w:b w:val="0"/>
          <w:i w:val="0"/>
          <w:sz w:val="21"/>
        </w:rPr>
        <w:t>：相对机会的判别增益在独立集上并未降低。</w:t>
      </w:r>
    </w:p>
    <w:p>
      <w:pPr>
        <w:spacing w:before="0" w:after="60"/>
        <w:ind w:left="360"/>
      </w:pPr>
      <w:r>
        <w:rPr>
          <w:rFonts w:ascii="Times New Roman" w:hAnsi="Times New Roman" w:eastAsia="宋体"/>
          <w:b/>
          <w:i w:val="0"/>
          <w:sz w:val="21"/>
        </w:rPr>
        <w:t>定量阳性率分解</w:t>
      </w:r>
      <w:r>
        <w:rPr>
          <w:rFonts w:ascii="Times New Roman" w:hAnsi="Times New Roman" w:eastAsia="宋体"/>
          <w:b w:val="0"/>
          <w:i w:val="0"/>
          <w:sz w:val="21"/>
        </w:rPr>
        <w:t>：由于开发集仅含 443 个阳性相位，将负样本直接下采样至 1.57% 阳性率不可行；本文改为对冻结分数应用解析精确率-召回重加权（precision(t, λ) = TP(t)/(TP(t) + λ·FP(t))，负样本重加权因子 λ 下召回不变；经保留集上 20 次按测量聚类的负样本下采样验证：解析 0.457 vs 重采样 0.456 ± [0.442, 0.469]，差异 0.0004）。在公共阳性率网格上，保留集在开发集阳性率（5.9%）下达到相位 PR-AUC 0.457，10% 下 0.570，而开发集为 0.530（pooled-OOF 口径；第六节 A）。表观差距因此分解为阳性率效应 Δπ = −0.242（约占下降的 77%）与真实域偏移 Δshift = −0.073（约 23%），后者是远小于 65% 表观下降的诚实跨块偏移。固定召回 0.1/0.2/0.5 下，保留集精确率（0.500/0.336/0.164）低于开发集（0.776/0.748/0.610），与 ROC-AUC 所示的"保持但变弱"的排序一致。归一化提升 (PR-AUC − π)/(1 − π) 在相同 5.9% 阳性率下开发集为 0.500、保留集为 0.422。</w:t>
      </w:r>
    </w:p>
    <w:p>
      <w:pPr>
        <w:spacing w:before="0" w:after="60"/>
        <w:ind w:left="360"/>
      </w:pPr>
      <w:r>
        <w:rPr>
          <w:rFonts w:ascii="Times New Roman" w:hAnsi="Times New Roman" w:eastAsia="宋体"/>
          <w:b/>
          <w:i w:val="0"/>
          <w:sz w:val="21"/>
        </w:rPr>
        <w:t>阈值与校准</w:t>
      </w:r>
      <w:r>
        <w:rPr>
          <w:rFonts w:ascii="Times New Roman" w:hAnsi="Times New Roman" w:eastAsia="宋体"/>
          <w:b w:val="0"/>
          <w:i w:val="0"/>
          <w:sz w:val="21"/>
        </w:rPr>
        <w:t>：开发集选择的测量阈值（0.88）对保留集过严，导致测量级 MCC/F1 = 0；ROC-AUC 0.957 表明阈值重校准后正负测量仍可分——跨块校准偏移，而非模型失效。相位级 ECE 0.007（Brier 0.014），与开发级校准（0.007–0.008）一致。</w:t>
      </w:r>
    </w:p>
    <w:p>
      <w:pPr>
        <w:spacing w:before="0" w:after="120"/>
      </w:pPr>
      <w:r>
        <w:rPr>
          <w:rFonts w:ascii="Times New Roman" w:hAnsi="Times New Roman" w:eastAsia="宋体"/>
          <w:b w:val="0"/>
          <w:i w:val="0"/>
          <w:sz w:val="21"/>
        </w:rPr>
        <w:t>独立测试闭环已关闭：E4 主模型在从未参与任何训练、选择、超参数或阈值确定的数据上一次性评估，防篡改收据绑定协议锁与检查点哈希。开发集 5 折 CV、三种子重复与聚类 bootstrap 估计现由 ROC-AUC 0.899 的独立测试锚定。以上所有阳性率分析均为冻结预测上的事后统计，未重开任何一次性评估或改变任何阈值。</w:t>
      </w:r>
    </w:p>
    <w:p>
      <w:pPr>
        <w:keepNext/>
        <w:spacing w:before="240" w:after="160"/>
      </w:pPr>
      <w:r>
        <w:rPr>
          <w:rFonts w:ascii="Times New Roman" w:hAnsi="Times New Roman" w:eastAsia="黑体"/>
          <w:b/>
          <w:i w:val="0"/>
          <w:color w:val="1F4D78"/>
          <w:sz w:val="24"/>
        </w:rPr>
        <w:t>K. 补充证据</w:t>
      </w:r>
    </w:p>
    <w:p>
      <w:pPr>
        <w:spacing w:before="0" w:after="120"/>
      </w:pPr>
      <w:r>
        <w:rPr>
          <w:rFonts w:ascii="Times New Roman" w:hAnsi="Times New Roman" w:eastAsia="宋体"/>
          <w:b w:val="0"/>
          <w:i w:val="0"/>
          <w:sz w:val="21"/>
        </w:rPr>
        <w:t xml:space="preserve">以下分析属于修订计划，将在相应实验完成后插入 [t3]：(1) ~~阳性率敏感性对照~~ — </w:t>
      </w:r>
      <w:r>
        <w:rPr>
          <w:rFonts w:ascii="Times New Roman" w:hAnsi="Times New Roman" w:eastAsia="宋体"/>
          <w:b/>
          <w:i w:val="0"/>
          <w:sz w:val="21"/>
        </w:rPr>
        <w:t>已完成（第五节 J.3）</w:t>
      </w:r>
      <w:r>
        <w:rPr>
          <w:rFonts w:ascii="Times New Roman" w:hAnsi="Times New Roman" w:eastAsia="宋体"/>
          <w:b w:val="0"/>
          <w:i w:val="0"/>
          <w:sz w:val="21"/>
        </w:rPr>
        <w:t xml:space="preserve">：公共阳性率网格（5.9%/10%/15%）上的解析精确率-召回重加权、20 次按测量聚类的负样本下采样验证与固定召回精确率比较，将保留集 PR-AUC 差距分解为阳性率效应（Δπ = −0.242）与域偏移效应（Δshift = −0.073）；脚本与输出随代码仓库发布（`scripts/e1_posrate_sensitivity.py`；`results/posrate_sensitivity/`）；(2) ~~标注比例实验~~ — </w:t>
      </w:r>
      <w:r>
        <w:rPr>
          <w:rFonts w:ascii="Times New Roman" w:hAnsi="Times New Roman" w:eastAsia="宋体"/>
          <w:b/>
          <w:i w:val="0"/>
          <w:sz w:val="21"/>
        </w:rPr>
        <w:t>已完成（第五节 I）</w:t>
      </w:r>
      <w:r>
        <w:rPr>
          <w:rFonts w:ascii="Times New Roman" w:hAnsi="Times New Roman" w:eastAsia="宋体"/>
          <w:b w:val="0"/>
          <w:i w:val="0"/>
          <w:sz w:val="21"/>
        </w:rPr>
        <w:t xml:space="preserve">：仅 50% 相位标签时弱监督管线保留全监督性能的 88%（逐折均值 0.542 vs 0.615；20% 标签：0.377 ± 0.021，61%），量化标注成本优势（脚本 `l1_label_fraction.py`；`results/label_fraction/`）；(3) 与公开 VSB 竞赛方案的对比锚点（排行榜指标 MCC；需口径映射）；(4) ~~经典检测器基线~~ — </w:t>
      </w:r>
      <w:r>
        <w:rPr>
          <w:rFonts w:ascii="Times New Roman" w:hAnsi="Times New Roman" w:eastAsia="宋体"/>
          <w:b/>
          <w:i w:val="0"/>
          <w:sz w:val="21"/>
        </w:rPr>
        <w:t>已完成（第五节 B）</w:t>
      </w:r>
      <w:r>
        <w:rPr>
          <w:rFonts w:ascii="Times New Roman" w:hAnsi="Times New Roman" w:eastAsia="宋体"/>
          <w:b w:val="0"/>
          <w:i w:val="0"/>
          <w:sz w:val="21"/>
        </w:rPr>
        <w:t xml:space="preserve">：能量 0.055 / 冲击性 0.104 / 频谱 0.088 / PRPD+LR 0.323 相位 PR-AUC（pooled-OOF）vs E4 0.530；(5) ~~Zheng 时频编码器在 E4 协议下复测~~ — </w:t>
      </w:r>
      <w:r>
        <w:rPr>
          <w:rFonts w:ascii="Times New Roman" w:hAnsi="Times New Roman" w:eastAsia="宋体"/>
          <w:b/>
          <w:i w:val="0"/>
          <w:sz w:val="21"/>
        </w:rPr>
        <w:t>已完成（第五节 D）</w:t>
      </w:r>
      <w:r>
        <w:rPr>
          <w:rFonts w:ascii="Times New Roman" w:hAnsi="Times New Roman" w:eastAsia="宋体"/>
          <w:b w:val="0"/>
          <w:i w:val="0"/>
          <w:sz w:val="21"/>
        </w:rPr>
        <w:t xml:space="preserve">：E4 协议下相位 PR-AUC 0.703 ± 0.025（167,394 参数），确认编码器可插拔并将增益定位于时频表示；(6) 采样参数敏感性（峰距离 ×0.5/×2、去重 IoU 0.3/0.7）；(7) ~~内部保留（IR）严格留出评估~~ — </w:t>
      </w:r>
      <w:r>
        <w:rPr>
          <w:rFonts w:ascii="Times New Roman" w:hAnsi="Times New Roman" w:eastAsia="宋体"/>
          <w:b/>
          <w:i w:val="0"/>
          <w:sz w:val="21"/>
        </w:rPr>
        <w:t>已完成</w:t>
      </w:r>
      <w:r>
        <w:rPr>
          <w:rFonts w:ascii="Times New Roman" w:hAnsi="Times New Roman" w:eastAsia="宋体"/>
          <w:b w:val="0"/>
          <w:i w:val="0"/>
          <w:sz w:val="21"/>
        </w:rPr>
        <w:t>：497 个测量（20%，67 个阳性相位，4.49%）在新 SHA-256 哈希锁分割下分层为 IR 集；E4 主模型在其余 1,984 个测量（80%）上按精确主模型协议重训（5 折，seed 42，patience 15）；IR 集以 80% 训练域 OOF 冻结阈值一次性评估（相位 0.53，测量 0.59）。结果（5 折集成，一次性）：相位 PR-AUC 0.412 / ROC-AUC 0.953 / MCC 0.364；测量 PR-AUC 0.415 / ROC-AUC 0.951 / MCC 0.496。诚实定位：IR 集是在所有原始选择锁定后从开发集抽取的同分布内部验证——不是外部验证；相位 PR-AUC 相对开发集 CV 较低（0.412 vs 0.530 pooled / 0.615 逐折均值）与 IR 阳性率较低（4.49% vs 5.95%）一致，且与第五节 J.3 的阳性率分析一致，ROC-AUC（0.953）确认未见同分布测量的排序保持（脚本 `e2_ir_evaluation.py`；输出 `results/ir_eval/`）。</w:t>
      </w:r>
    </w:p>
    <w:p>
      <w:pPr>
        <w:keepNext/>
        <w:spacing w:before="240" w:after="160"/>
      </w:pPr>
      <w:r>
        <w:rPr>
          <w:rFonts w:ascii="Times New Roman" w:hAnsi="Times New Roman" w:eastAsia="黑体"/>
          <w:b/>
          <w:i w:val="0"/>
          <w:color w:val="2E74B5"/>
          <w:sz w:val="28"/>
        </w:rPr>
        <w:t>六、不确定性分析</w:t>
      </w:r>
    </w:p>
    <w:p>
      <w:pPr>
        <w:keepNext/>
        <w:spacing w:before="240" w:after="160"/>
      </w:pPr>
      <w:r>
        <w:rPr>
          <w:rFonts w:ascii="Times New Roman" w:hAnsi="Times New Roman" w:eastAsia="黑体"/>
          <w:b/>
          <w:i w:val="0"/>
          <w:color w:val="1F4D78"/>
          <w:sz w:val="24"/>
        </w:rPr>
        <w:t>A. 指标口径：逐折均值 vs pooled OOF</w:t>
      </w:r>
    </w:p>
    <w:p>
      <w:pPr>
        <w:spacing w:before="0" w:after="120"/>
      </w:pPr>
      <w:r>
        <w:rPr>
          <w:rFonts w:ascii="Times New Roman" w:hAnsi="Times New Roman" w:eastAsia="宋体"/>
          <w:b w:val="0"/>
          <w:i w:val="0"/>
          <w:sz w:val="21"/>
        </w:rPr>
        <w:t>逐折均值 PR-AUC 与 pooled-OOF PR-AUC 存在系统差异：E4 相位级逐折均值 0.615 vs pooled OOF 0.533（差 0.082），测量级 0.643 vs 0.585（差 0.058）；最强传统基线 0.206 vs 0.198。两种口径下模型均大幅优于基线（逐折绝对提升 +0.409，pooled +0.335），故性能优势对口径稳健。绝对差距源于折间概率尺度/校准偏移（审计见 `results/fold_oof_gap_audit_80k.json`）：所有折共享相同折叠指纹与 `average_precision_score` 计算，OOF 概率与测量 ID 严格对齐。历史盲测使用 5 折概率平均集成，自然缓解此折间尺度差异。本文统一以逐折均值为主要口径；pooled-OOF 值（seed 42：E1 0.378/0.444、E2 0.476/0.513、E3 0.495/0.538、E4 0.533/0.585、E5 0.458/0.506、E6 0.502/0.534，相位/测量）仅在此作为稳健性补充报告。历史盲测单次冻结评估给出相位级共享得分 PR-AUC 0.524（95% CI [0.379, 0.657]）与测量级 0.582（[0.447, 0.714]）；这些数字属于历史锁定主模型，不归于 E4，也不与 E4 逐折均值作点估计比较。</w:t>
      </w:r>
    </w:p>
    <w:p>
      <w:pPr>
        <w:keepNext/>
        <w:spacing w:before="240" w:after="160"/>
      </w:pPr>
      <w:r>
        <w:rPr>
          <w:rFonts w:ascii="Times New Roman" w:hAnsi="Times New Roman" w:eastAsia="黑体"/>
          <w:b/>
          <w:i w:val="0"/>
          <w:color w:val="1F4D78"/>
          <w:sz w:val="24"/>
        </w:rPr>
        <w:t>B. 测量聚类统计不确定性</w:t>
      </w:r>
    </w:p>
    <w:p>
      <w:pPr>
        <w:spacing w:before="0" w:after="120"/>
      </w:pPr>
      <w:r>
        <w:rPr>
          <w:rFonts w:ascii="Times New Roman" w:hAnsi="Times New Roman" w:eastAsia="宋体"/>
          <w:b w:val="0"/>
          <w:i w:val="0"/>
          <w:sz w:val="21"/>
        </w:rPr>
        <w:t>为在不与计量学术语冲突的前提下量化小样本与测量间变异，本文称之为测量聚类统计不确定性。对 E4 开发集 OOF 预测（2,000 次重采样，按测量标签分层）的测量聚类 bootstrap 给出相位 PR-AUC 中位数 0.5333（95% CI [0.4734, 0.5908]）与测量 PR-AUC 中位数 0.5852（[0.5267, 0.6414]）；与逐折均值口径的差异即第六节 A 的折尺度现象。同一测量聚类上的配对 bootstrap（差值 = 前项 − 后项）：</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Times New Roman" w:hAnsi="Times New Roman" w:eastAsia="宋体"/>
                <w:b/>
                <w:i w:val="0"/>
                <w:sz w:val="18"/>
              </w:rPr>
              <w:t>对比</w:t>
            </w:r>
          </w:p>
        </w:tc>
        <w:tc>
          <w:tcPr>
            <w:tcW w:type="dxa" w:w="3120"/>
            <w:vAlign w:val="center"/>
            <w:shd w:val="clear" w:fill="F4F6F9"/>
          </w:tcPr>
          <w:p>
            <w:pPr>
              <w:spacing w:after="40" w:before="40"/>
            </w:pPr>
            <w:r/>
            <w:r>
              <w:rPr>
                <w:rFonts w:ascii="Times New Roman" w:hAnsi="Times New Roman" w:eastAsia="宋体"/>
                <w:b/>
                <w:i w:val="0"/>
                <w:sz w:val="18"/>
              </w:rPr>
              <w:t>相位 PR-AUC 差值（95% CI）</w:t>
            </w:r>
          </w:p>
        </w:tc>
        <w:tc>
          <w:tcPr>
            <w:tcW w:type="dxa" w:w="3120"/>
            <w:vAlign w:val="center"/>
            <w:shd w:val="clear" w:fill="F4F6F9"/>
          </w:tcPr>
          <w:p>
            <w:pPr>
              <w:spacing w:after="40" w:before="40"/>
            </w:pPr>
            <w:r/>
            <w:r>
              <w:rPr>
                <w:rFonts w:ascii="Times New Roman" w:hAnsi="Times New Roman" w:eastAsia="宋体"/>
                <w:b/>
                <w:i w:val="0"/>
                <w:sz w:val="18"/>
              </w:rPr>
              <w:t>测量差值（95% CI）</w:t>
            </w:r>
          </w:p>
        </w:tc>
      </w:tr>
      <w:tr>
        <w:tc>
          <w:tcPr>
            <w:tcW w:type="dxa" w:w="3120"/>
            <w:vAlign w:val="center"/>
          </w:tcPr>
          <w:p>
            <w:pPr>
              <w:spacing w:after="40" w:before="40"/>
            </w:pPr>
            <w:r/>
            <w:r>
              <w:rPr>
                <w:rFonts w:ascii="Times New Roman" w:hAnsi="Times New Roman" w:eastAsia="宋体"/>
                <w:b w:val="0"/>
                <w:i w:val="0"/>
                <w:sz w:val="18"/>
              </w:rPr>
              <w:t>E4 vs E2（均值共享）</w:t>
            </w:r>
          </w:p>
        </w:tc>
        <w:tc>
          <w:tcPr>
            <w:tcW w:type="dxa" w:w="3120"/>
            <w:vAlign w:val="center"/>
          </w:tcPr>
          <w:p>
            <w:pPr>
              <w:spacing w:after="40" w:before="40"/>
            </w:pPr>
            <w:r/>
            <w:r>
              <w:rPr>
                <w:rFonts w:ascii="Times New Roman" w:hAnsi="Times New Roman" w:eastAsia="宋体"/>
                <w:b w:val="0"/>
                <w:i w:val="0"/>
                <w:sz w:val="18"/>
              </w:rPr>
              <w:t>+0.055 [+0.006, +0.103]</w:t>
            </w:r>
          </w:p>
        </w:tc>
        <w:tc>
          <w:tcPr>
            <w:tcW w:type="dxa" w:w="3120"/>
            <w:vAlign w:val="center"/>
          </w:tcPr>
          <w:p>
            <w:pPr>
              <w:spacing w:after="40" w:before="40"/>
            </w:pPr>
            <w:r/>
            <w:r>
              <w:rPr>
                <w:rFonts w:ascii="Times New Roman" w:hAnsi="Times New Roman" w:eastAsia="宋体"/>
                <w:b w:val="0"/>
                <w:i w:val="0"/>
                <w:sz w:val="18"/>
              </w:rPr>
              <w:t>+0.071 [+0.023, +0.118]</w:t>
            </w:r>
          </w:p>
        </w:tc>
      </w:tr>
      <w:tr>
        <w:tc>
          <w:tcPr>
            <w:tcW w:type="dxa" w:w="3120"/>
            <w:vAlign w:val="center"/>
          </w:tcPr>
          <w:p>
            <w:pPr>
              <w:spacing w:after="40" w:before="40"/>
            </w:pPr>
            <w:r/>
            <w:r>
              <w:rPr>
                <w:rFonts w:ascii="Times New Roman" w:hAnsi="Times New Roman" w:eastAsia="宋体"/>
                <w:b w:val="0"/>
                <w:i w:val="0"/>
                <w:sz w:val="18"/>
              </w:rPr>
              <w:t>E4 vs E5（context-add）</w:t>
            </w:r>
          </w:p>
        </w:tc>
        <w:tc>
          <w:tcPr>
            <w:tcW w:type="dxa" w:w="3120"/>
            <w:vAlign w:val="center"/>
          </w:tcPr>
          <w:p>
            <w:pPr>
              <w:spacing w:after="40" w:before="40"/>
            </w:pPr>
            <w:r/>
            <w:r>
              <w:rPr>
                <w:rFonts w:ascii="Times New Roman" w:hAnsi="Times New Roman" w:eastAsia="宋体"/>
                <w:b w:val="0"/>
                <w:i w:val="0"/>
                <w:sz w:val="18"/>
              </w:rPr>
              <w:t>+0.073 [+0.028, +0.117]</w:t>
            </w:r>
          </w:p>
        </w:tc>
        <w:tc>
          <w:tcPr>
            <w:tcW w:type="dxa" w:w="3120"/>
            <w:vAlign w:val="center"/>
          </w:tcPr>
          <w:p>
            <w:pPr>
              <w:spacing w:after="40" w:before="40"/>
            </w:pPr>
            <w:r/>
            <w:r>
              <w:rPr>
                <w:rFonts w:ascii="Times New Roman" w:hAnsi="Times New Roman" w:eastAsia="宋体"/>
                <w:b w:val="0"/>
                <w:i w:val="0"/>
                <w:sz w:val="18"/>
              </w:rPr>
              <w:t>+0.077 [+0.025, +0.127]</w:t>
            </w:r>
          </w:p>
        </w:tc>
      </w:tr>
      <w:tr>
        <w:tc>
          <w:tcPr>
            <w:tcW w:type="dxa" w:w="3120"/>
            <w:vAlign w:val="center"/>
          </w:tcPr>
          <w:p>
            <w:pPr>
              <w:spacing w:after="40" w:before="40"/>
            </w:pPr>
            <w:r/>
            <w:r>
              <w:rPr>
                <w:rFonts w:ascii="Times New Roman" w:hAnsi="Times New Roman" w:eastAsia="宋体"/>
                <w:b w:val="0"/>
                <w:i w:val="0"/>
                <w:sz w:val="18"/>
              </w:rPr>
              <w:t>E4 vs E3（最大聚合）</w:t>
            </w:r>
          </w:p>
        </w:tc>
        <w:tc>
          <w:tcPr>
            <w:tcW w:type="dxa" w:w="3120"/>
            <w:vAlign w:val="center"/>
          </w:tcPr>
          <w:p>
            <w:pPr>
              <w:spacing w:after="40" w:before="40"/>
            </w:pPr>
            <w:r/>
            <w:r>
              <w:rPr>
                <w:rFonts w:ascii="Times New Roman" w:hAnsi="Times New Roman" w:eastAsia="宋体"/>
                <w:b w:val="0"/>
                <w:i w:val="0"/>
                <w:sz w:val="18"/>
              </w:rPr>
              <w:t>+0.036 [−0.012, +0.087]</w:t>
            </w:r>
          </w:p>
        </w:tc>
        <w:tc>
          <w:tcPr>
            <w:tcW w:type="dxa" w:w="3120"/>
            <w:vAlign w:val="center"/>
          </w:tcPr>
          <w:p>
            <w:pPr>
              <w:spacing w:after="40" w:before="40"/>
            </w:pPr>
            <w:r/>
            <w:r>
              <w:rPr>
                <w:rFonts w:ascii="Times New Roman" w:hAnsi="Times New Roman" w:eastAsia="宋体"/>
                <w:b w:val="0"/>
                <w:i w:val="0"/>
                <w:sz w:val="18"/>
              </w:rPr>
              <w:t>+0.045 [−0.002, +0.096]</w:t>
            </w:r>
          </w:p>
        </w:tc>
      </w:tr>
      <w:tr>
        <w:tc>
          <w:tcPr>
            <w:tcW w:type="dxa" w:w="3120"/>
            <w:vAlign w:val="center"/>
          </w:tcPr>
          <w:p>
            <w:pPr>
              <w:spacing w:after="40" w:before="40"/>
            </w:pPr>
            <w:r/>
            <w:r>
              <w:rPr>
                <w:rFonts w:ascii="Times New Roman" w:hAnsi="Times New Roman" w:eastAsia="宋体"/>
                <w:b w:val="0"/>
                <w:i w:val="0"/>
                <w:sz w:val="18"/>
              </w:rPr>
              <w:t>E6 vs E4（层级损失）</w:t>
            </w:r>
          </w:p>
        </w:tc>
        <w:tc>
          <w:tcPr>
            <w:tcW w:type="dxa" w:w="3120"/>
            <w:vAlign w:val="center"/>
          </w:tcPr>
          <w:p>
            <w:pPr>
              <w:spacing w:after="40" w:before="40"/>
            </w:pPr>
            <w:r/>
            <w:r>
              <w:rPr>
                <w:rFonts w:ascii="Times New Roman" w:hAnsi="Times New Roman" w:eastAsia="宋体"/>
                <w:b w:val="0"/>
                <w:i w:val="0"/>
                <w:sz w:val="18"/>
              </w:rPr>
              <w:t>−0.030 [−0.084, +0.024]</w:t>
            </w:r>
          </w:p>
        </w:tc>
        <w:tc>
          <w:tcPr>
            <w:tcW w:type="dxa" w:w="3120"/>
            <w:vAlign w:val="center"/>
          </w:tcPr>
          <w:p>
            <w:pPr>
              <w:spacing w:after="40" w:before="40"/>
            </w:pPr>
            <w:r/>
            <w:r>
              <w:rPr>
                <w:rFonts w:ascii="Times New Roman" w:hAnsi="Times New Roman" w:eastAsia="宋体"/>
                <w:b w:val="0"/>
                <w:i w:val="0"/>
                <w:sz w:val="18"/>
              </w:rPr>
              <w:t>−0.050 [−0.104, +0.003]</w:t>
            </w:r>
          </w:p>
        </w:tc>
      </w:tr>
      <w:tr>
        <w:tc>
          <w:tcPr>
            <w:tcW w:type="dxa" w:w="3120"/>
            <w:vAlign w:val="center"/>
          </w:tcPr>
          <w:p>
            <w:pPr>
              <w:spacing w:after="40" w:before="40"/>
            </w:pPr>
            <w:r/>
            <w:r>
              <w:rPr>
                <w:rFonts w:ascii="Times New Roman" w:hAnsi="Times New Roman" w:eastAsia="宋体"/>
                <w:b w:val="0"/>
                <w:i w:val="0"/>
                <w:sz w:val="18"/>
              </w:rPr>
              <w:t>E3 vs E2（均值共享）†</w:t>
            </w:r>
          </w:p>
        </w:tc>
        <w:tc>
          <w:tcPr>
            <w:tcW w:type="dxa" w:w="3120"/>
            <w:vAlign w:val="center"/>
          </w:tcPr>
          <w:p>
            <w:pPr>
              <w:spacing w:after="40" w:before="40"/>
            </w:pPr>
            <w:r/>
            <w:r>
              <w:rPr>
                <w:rFonts w:ascii="Times New Roman" w:hAnsi="Times New Roman" w:eastAsia="宋体"/>
                <w:b w:val="0"/>
                <w:i w:val="0"/>
                <w:sz w:val="18"/>
              </w:rPr>
              <w:t>+0.018 [−0.018, +0.052]</w:t>
            </w:r>
          </w:p>
        </w:tc>
        <w:tc>
          <w:tcPr>
            <w:tcW w:type="dxa" w:w="3120"/>
            <w:vAlign w:val="center"/>
          </w:tcPr>
          <w:p>
            <w:pPr>
              <w:spacing w:after="40" w:before="40"/>
            </w:pPr>
            <w:r/>
            <w:r>
              <w:rPr>
                <w:rFonts w:ascii="Times New Roman" w:hAnsi="Times New Roman" w:eastAsia="宋体"/>
                <w:b w:val="0"/>
                <w:i w:val="0"/>
                <w:sz w:val="18"/>
              </w:rPr>
              <w:t>+0.025 [−0.010, +0.058]</w:t>
            </w:r>
          </w:p>
        </w:tc>
      </w:tr>
      <w:tr>
        <w:tc>
          <w:tcPr>
            <w:tcW w:type="dxa" w:w="3120"/>
            <w:vAlign w:val="center"/>
          </w:tcPr>
          <w:p>
            <w:pPr>
              <w:spacing w:after="40" w:before="40"/>
            </w:pPr>
            <w:r/>
            <w:r>
              <w:rPr>
                <w:rFonts w:ascii="Times New Roman" w:hAnsi="Times New Roman" w:eastAsia="宋体"/>
                <w:b w:val="0"/>
                <w:i w:val="0"/>
                <w:sz w:val="18"/>
              </w:rPr>
              <w:t>E3 vs E5（context-add）†</w:t>
            </w:r>
          </w:p>
        </w:tc>
        <w:tc>
          <w:tcPr>
            <w:tcW w:type="dxa" w:w="3120"/>
            <w:vAlign w:val="center"/>
          </w:tcPr>
          <w:p>
            <w:pPr>
              <w:spacing w:after="40" w:before="40"/>
            </w:pPr>
            <w:r/>
            <w:r>
              <w:rPr>
                <w:rFonts w:ascii="Times New Roman" w:hAnsi="Times New Roman" w:eastAsia="宋体"/>
                <w:b w:val="0"/>
                <w:i w:val="0"/>
                <w:sz w:val="18"/>
              </w:rPr>
              <w:t>+0.036 [−0.004, +0.077]</w:t>
            </w:r>
          </w:p>
        </w:tc>
        <w:tc>
          <w:tcPr>
            <w:tcW w:type="dxa" w:w="3120"/>
            <w:vAlign w:val="center"/>
          </w:tcPr>
          <w:p>
            <w:pPr>
              <w:spacing w:after="40" w:before="40"/>
            </w:pPr>
            <w:r/>
            <w:r>
              <w:rPr>
                <w:rFonts w:ascii="Times New Roman" w:hAnsi="Times New Roman" w:eastAsia="宋体"/>
                <w:b w:val="0"/>
                <w:i w:val="0"/>
                <w:sz w:val="18"/>
              </w:rPr>
              <w:t>+0.031 [−0.012, +0.073]</w:t>
            </w:r>
          </w:p>
        </w:tc>
      </w:tr>
      <w:tr>
        <w:tc>
          <w:tcPr>
            <w:tcW w:type="dxa" w:w="3120"/>
            <w:vAlign w:val="center"/>
          </w:tcPr>
          <w:p>
            <w:pPr>
              <w:spacing w:after="40" w:before="40"/>
            </w:pPr>
            <w:r/>
            <w:r>
              <w:rPr>
                <w:rFonts w:ascii="Times New Roman" w:hAnsi="Times New Roman" w:eastAsia="宋体"/>
                <w:b w:val="0"/>
                <w:i w:val="0"/>
                <w:sz w:val="18"/>
              </w:rPr>
              <w:t>E2 vs E5（context-add）†</w:t>
            </w:r>
          </w:p>
        </w:tc>
        <w:tc>
          <w:tcPr>
            <w:tcW w:type="dxa" w:w="3120"/>
            <w:vAlign w:val="center"/>
          </w:tcPr>
          <w:p>
            <w:pPr>
              <w:spacing w:after="40" w:before="40"/>
            </w:pPr>
            <w:r/>
            <w:r>
              <w:rPr>
                <w:rFonts w:ascii="Times New Roman" w:hAnsi="Times New Roman" w:eastAsia="宋体"/>
                <w:b w:val="0"/>
                <w:i w:val="0"/>
                <w:sz w:val="18"/>
              </w:rPr>
              <w:t>+0.018 [−0.020, +0.060]</w:t>
            </w:r>
          </w:p>
        </w:tc>
        <w:tc>
          <w:tcPr>
            <w:tcW w:type="dxa" w:w="3120"/>
            <w:vAlign w:val="center"/>
          </w:tcPr>
          <w:p>
            <w:pPr>
              <w:spacing w:after="40" w:before="40"/>
            </w:pPr>
            <w:r/>
            <w:r>
              <w:rPr>
                <w:rFonts w:ascii="Times New Roman" w:hAnsi="Times New Roman" w:eastAsia="宋体"/>
                <w:b w:val="0"/>
                <w:i w:val="0"/>
                <w:sz w:val="18"/>
              </w:rPr>
              <w:t>+0.007 [−0.038, +0.049]</w:t>
            </w:r>
          </w:p>
        </w:tc>
      </w:tr>
      <w:tr>
        <w:tc>
          <w:tcPr>
            <w:tcW w:type="dxa" w:w="3120"/>
            <w:vAlign w:val="center"/>
          </w:tcPr>
          <w:p>
            <w:pPr>
              <w:spacing w:after="40" w:before="40"/>
            </w:pPr>
            <w:r/>
            <w:r>
              <w:rPr>
                <w:rFonts w:ascii="Times New Roman" w:hAnsi="Times New Roman" w:eastAsia="宋体"/>
                <w:b w:val="0"/>
                <w:i w:val="0"/>
                <w:sz w:val="18"/>
              </w:rPr>
              <w:t>E3 vs E1（无交互）†</w:t>
            </w:r>
          </w:p>
        </w:tc>
        <w:tc>
          <w:tcPr>
            <w:tcW w:type="dxa" w:w="3120"/>
            <w:vAlign w:val="center"/>
          </w:tcPr>
          <w:p>
            <w:pPr>
              <w:spacing w:after="40" w:before="40"/>
            </w:pPr>
            <w:r/>
            <w:r>
              <w:rPr>
                <w:rFonts w:ascii="Times New Roman" w:hAnsi="Times New Roman" w:eastAsia="宋体"/>
                <w:b w:val="0"/>
                <w:i w:val="0"/>
                <w:sz w:val="18"/>
              </w:rPr>
              <w:t>+0.117 [+0.073, +0.159]</w:t>
            </w:r>
          </w:p>
        </w:tc>
        <w:tc>
          <w:tcPr>
            <w:tcW w:type="dxa" w:w="3120"/>
            <w:vAlign w:val="center"/>
          </w:tcPr>
          <w:p>
            <w:pPr>
              <w:spacing w:after="40" w:before="40"/>
            </w:pPr>
            <w:r/>
            <w:r>
              <w:rPr>
                <w:rFonts w:ascii="Times New Roman" w:hAnsi="Times New Roman" w:eastAsia="宋体"/>
                <w:b w:val="0"/>
                <w:i w:val="0"/>
                <w:sz w:val="18"/>
              </w:rPr>
              <w:t>+0.093 [+0.048, +0.139]</w:t>
            </w:r>
          </w:p>
        </w:tc>
      </w:tr>
      <w:tr>
        <w:tc>
          <w:tcPr>
            <w:tcW w:type="dxa" w:w="3120"/>
            <w:vAlign w:val="center"/>
          </w:tcPr>
          <w:p>
            <w:pPr>
              <w:spacing w:after="40" w:before="40"/>
            </w:pPr>
            <w:r/>
            <w:r>
              <w:rPr>
                <w:rFonts w:ascii="Times New Roman" w:hAnsi="Times New Roman" w:eastAsia="宋体"/>
                <w:b w:val="0"/>
                <w:i w:val="0"/>
                <w:sz w:val="18"/>
              </w:rPr>
              <w:t>E4 vs E1（无交互）†</w:t>
            </w:r>
          </w:p>
        </w:tc>
        <w:tc>
          <w:tcPr>
            <w:tcW w:type="dxa" w:w="3120"/>
            <w:vAlign w:val="center"/>
          </w:tcPr>
          <w:p>
            <w:pPr>
              <w:spacing w:after="40" w:before="40"/>
            </w:pPr>
            <w:r/>
            <w:r>
              <w:rPr>
                <w:rFonts w:ascii="Times New Roman" w:hAnsi="Times New Roman" w:eastAsia="宋体"/>
                <w:b w:val="0"/>
                <w:i w:val="0"/>
                <w:sz w:val="18"/>
              </w:rPr>
              <w:t>+0.153 [+0.102, +0.204]</w:t>
            </w:r>
          </w:p>
        </w:tc>
        <w:tc>
          <w:tcPr>
            <w:tcW w:type="dxa" w:w="3120"/>
            <w:vAlign w:val="center"/>
          </w:tcPr>
          <w:p>
            <w:pPr>
              <w:spacing w:after="40" w:before="40"/>
            </w:pPr>
            <w:r/>
            <w:r>
              <w:rPr>
                <w:rFonts w:ascii="Times New Roman" w:hAnsi="Times New Roman" w:eastAsia="宋体"/>
                <w:b w:val="0"/>
                <w:i w:val="0"/>
                <w:sz w:val="18"/>
              </w:rPr>
              <w:t>+0.138 [+0.082, +0.197]</w:t>
            </w:r>
          </w:p>
        </w:tc>
      </w:tr>
      <w:tr>
        <w:tc>
          <w:tcPr>
            <w:tcW w:type="dxa" w:w="3120"/>
            <w:vAlign w:val="center"/>
          </w:tcPr>
          <w:p>
            <w:pPr>
              <w:spacing w:after="40" w:before="40"/>
            </w:pPr>
            <w:r/>
            <w:r>
              <w:rPr>
                <w:rFonts w:ascii="Times New Roman" w:hAnsi="Times New Roman" w:eastAsia="宋体"/>
                <w:b w:val="0"/>
                <w:i w:val="0"/>
                <w:sz w:val="18"/>
              </w:rPr>
              <w:t>ResNet1D vs cnn（E4）</w:t>
            </w:r>
          </w:p>
        </w:tc>
        <w:tc>
          <w:tcPr>
            <w:tcW w:type="dxa" w:w="3120"/>
            <w:vAlign w:val="center"/>
          </w:tcPr>
          <w:p>
            <w:pPr>
              <w:spacing w:after="40" w:before="40"/>
            </w:pPr>
            <w:r/>
            <w:r>
              <w:rPr>
                <w:rFonts w:ascii="Times New Roman" w:hAnsi="Times New Roman" w:eastAsia="宋体"/>
                <w:b w:val="0"/>
                <w:i w:val="0"/>
                <w:sz w:val="18"/>
              </w:rPr>
              <w:t>+0.095 [+0.033, +0.152]</w:t>
            </w:r>
          </w:p>
        </w:tc>
        <w:tc>
          <w:tcPr>
            <w:tcW w:type="dxa" w:w="3120"/>
            <w:vAlign w:val="center"/>
          </w:tcPr>
          <w:p>
            <w:pPr>
              <w:spacing w:after="40" w:before="40"/>
            </w:pPr>
            <w:r/>
            <w:r>
              <w:rPr>
                <w:rFonts w:ascii="Times New Roman" w:hAnsi="Times New Roman" w:eastAsia="宋体"/>
                <w:b w:val="0"/>
                <w:i w:val="0"/>
                <w:sz w:val="18"/>
              </w:rPr>
              <w:t>+0.064 [+0.007, +0.119]</w:t>
            </w:r>
          </w:p>
        </w:tc>
      </w:tr>
      <w:tr>
        <w:tc>
          <w:tcPr>
            <w:tcW w:type="dxa" w:w="3120"/>
            <w:vAlign w:val="center"/>
          </w:tcPr>
          <w:p>
            <w:pPr>
              <w:spacing w:after="40" w:before="40"/>
            </w:pPr>
            <w:r/>
            <w:r>
              <w:rPr>
                <w:rFonts w:ascii="Times New Roman" w:hAnsi="Times New Roman" w:eastAsia="宋体"/>
                <w:b w:val="0"/>
                <w:i w:val="0"/>
                <w:sz w:val="18"/>
              </w:rPr>
              <w:t>InceptionTime vs cnn（E4）</w:t>
            </w:r>
          </w:p>
        </w:tc>
        <w:tc>
          <w:tcPr>
            <w:tcW w:type="dxa" w:w="3120"/>
            <w:vAlign w:val="center"/>
          </w:tcPr>
          <w:p>
            <w:pPr>
              <w:spacing w:after="40" w:before="40"/>
            </w:pPr>
            <w:r/>
            <w:r>
              <w:rPr>
                <w:rFonts w:ascii="Times New Roman" w:hAnsi="Times New Roman" w:eastAsia="宋体"/>
                <w:b w:val="0"/>
                <w:i w:val="0"/>
                <w:sz w:val="18"/>
              </w:rPr>
              <w:t>+0.044 [−0.005, +0.092]</w:t>
            </w:r>
          </w:p>
        </w:tc>
        <w:tc>
          <w:tcPr>
            <w:tcW w:type="dxa" w:w="3120"/>
            <w:vAlign w:val="center"/>
          </w:tcPr>
          <w:p>
            <w:pPr>
              <w:spacing w:after="40" w:before="40"/>
            </w:pPr>
            <w:r/>
            <w:r>
              <w:rPr>
                <w:rFonts w:ascii="Times New Roman" w:hAnsi="Times New Roman" w:eastAsia="宋体"/>
                <w:b w:val="0"/>
                <w:i w:val="0"/>
                <w:sz w:val="18"/>
              </w:rPr>
              <w:t>+0.051 [−0.003, +0.102]</w:t>
            </w:r>
          </w:p>
        </w:tc>
      </w:tr>
      <w:tr>
        <w:tc>
          <w:tcPr>
            <w:tcW w:type="dxa" w:w="3120"/>
            <w:vAlign w:val="center"/>
          </w:tcPr>
          <w:p>
            <w:pPr>
              <w:spacing w:after="40" w:before="40"/>
            </w:pPr>
            <w:r/>
            <w:r>
              <w:rPr>
                <w:rFonts w:ascii="Times New Roman" w:hAnsi="Times New Roman" w:eastAsia="宋体"/>
                <w:b w:val="0"/>
                <w:i w:val="0"/>
                <w:sz w:val="18"/>
              </w:rPr>
              <w:t>simple_cnn vs cnn（E4）</w:t>
            </w:r>
          </w:p>
        </w:tc>
        <w:tc>
          <w:tcPr>
            <w:tcW w:type="dxa" w:w="3120"/>
            <w:vAlign w:val="center"/>
          </w:tcPr>
          <w:p>
            <w:pPr>
              <w:spacing w:after="40" w:before="40"/>
            </w:pPr>
            <w:r/>
            <w:r>
              <w:rPr>
                <w:rFonts w:ascii="Times New Roman" w:hAnsi="Times New Roman" w:eastAsia="宋体"/>
                <w:b w:val="0"/>
                <w:i w:val="0"/>
                <w:sz w:val="18"/>
              </w:rPr>
              <w:t>−0.005 [−0.048, +0.041]</w:t>
            </w:r>
          </w:p>
        </w:tc>
        <w:tc>
          <w:tcPr>
            <w:tcW w:type="dxa" w:w="3120"/>
            <w:vAlign w:val="center"/>
          </w:tcPr>
          <w:p>
            <w:pPr>
              <w:spacing w:after="40" w:before="40"/>
            </w:pPr>
            <w:r/>
            <w:r>
              <w:rPr>
                <w:rFonts w:ascii="Times New Roman" w:hAnsi="Times New Roman" w:eastAsia="宋体"/>
                <w:b w:val="0"/>
                <w:i w:val="0"/>
                <w:sz w:val="18"/>
              </w:rPr>
              <w:t>−0.016 [−0.060, +0.031]</w:t>
            </w:r>
          </w:p>
        </w:tc>
      </w:tr>
    </w:tbl>
    <w:p>
      <w:pPr>
        <w:spacing w:before="0" w:after="40"/>
      </w:pPr>
    </w:p>
    <w:p>
      <w:pPr>
        <w:spacing w:before="0" w:after="120"/>
      </w:pPr>
      <w:r>
        <w:rPr>
          <w:rFonts w:ascii="Times New Roman" w:hAnsi="Times New Roman" w:eastAsia="宋体"/>
          <w:b w:val="0"/>
          <w:i w:val="0"/>
          <w:sz w:val="21"/>
        </w:rPr>
        <w:t>† 事后对比以相同测量聚类配对 bootstrap（2,000 次，seed 42）在锁定 OOF 预测上计算（`results/stage1_tim/posthoc_e3_vs_shared.json`）。它们确定：在交互变体中，仅 E4 显著优于两个共享得分变体（E3 vs E2 与 E3 vs E5 均不显著），且三相交互必要（E4 与 E3 均显著优于无交互 E1）。</w:t>
      </w:r>
    </w:p>
    <w:p>
      <w:pPr>
        <w:spacing w:before="0" w:after="120"/>
      </w:pPr>
      <w:r>
        <w:rPr>
          <w:rFonts w:ascii="Times New Roman" w:hAnsi="Times New Roman" w:eastAsia="宋体"/>
          <w:b w:val="0"/>
          <w:i w:val="0"/>
          <w:sz w:val="21"/>
        </w:rPr>
        <w:t>E4 在两个层级均显著优于 E2 与 E5；与 E3、E6 的差异不显著（两个负结果均如实报告）。E3 与 E2、E5 差异不显著，E4 与 E3 均显著优于无交互。匹配编码器中仅 ResNet1D 在两个层级显著更高，代价为 263× MACs、3.6× GPU 与 26× CPU 延迟；InceptionTime 与 simple_cnn 不显著。轻量定位是精度-效率权衡，不夸大"不退化"。</w:t>
      </w:r>
    </w:p>
    <w:p>
      <w:pPr>
        <w:keepNext/>
        <w:spacing w:before="240" w:after="160"/>
      </w:pPr>
      <w:r>
        <w:rPr>
          <w:rFonts w:ascii="Times New Roman" w:hAnsi="Times New Roman" w:eastAsia="黑体"/>
          <w:b/>
          <w:i w:val="0"/>
          <w:color w:val="1F4D78"/>
          <w:sz w:val="24"/>
        </w:rPr>
        <w:t>C. 校准与阈值分析</w:t>
      </w:r>
    </w:p>
    <w:p>
      <w:pPr>
        <w:spacing w:before="0" w:after="120"/>
      </w:pPr>
      <w:r>
        <w:rPr>
          <w:rFonts w:ascii="Times New Roman" w:hAnsi="Times New Roman" w:eastAsia="宋体"/>
          <w:b w:val="0"/>
          <w:i w:val="0"/>
          <w:sz w:val="21"/>
        </w:rPr>
        <w:t>校准与阈值分析遵循历史锁定主模型（阈值仅在开发集 OOF 选择；盲测不参与）：相位 ECE 0.036 / Brier 0.042，测量 ECE 0.037 / Brier 0.044；历史盲测 ECE 0.040 / Brier 0.045。测量级阈值 0.5 / max-MCC / 召回 ≥ 0.5 / 召回 ≥ 0.8 下 F1 为 0.490 / 0.531 / 0.508 / 0.402（精确率 0.732 / 0.731 / 0.513 / 0.268）。阈值依赖开发集 OOF，与一次性盲测纪律一致；部署时应纳入现场特定误报成本（第七节 B）。</w:t>
      </w:r>
    </w:p>
    <w:p>
      <w:pPr>
        <w:keepNext/>
        <w:spacing w:before="240" w:after="160"/>
      </w:pPr>
      <w:r>
        <w:rPr>
          <w:rFonts w:ascii="Times New Roman" w:hAnsi="Times New Roman" w:eastAsia="黑体"/>
          <w:b/>
          <w:i w:val="0"/>
          <w:color w:val="1F4D78"/>
          <w:sz w:val="24"/>
        </w:rPr>
        <w:t>D. 多重比较与种子敏感性</w:t>
      </w:r>
    </w:p>
    <w:p>
      <w:pPr>
        <w:spacing w:before="0" w:after="120"/>
      </w:pPr>
      <w:r>
        <w:rPr>
          <w:rFonts w:ascii="Times New Roman" w:hAnsi="Times New Roman" w:eastAsia="宋体"/>
          <w:b w:val="0"/>
          <w:i w:val="0"/>
          <w:sz w:val="21"/>
        </w:rPr>
        <w:t>交互、编码器与采样消融共报告三十二次配对 bootstrap 对比（锁定 Stage-1 报告十四次、受控采样实验八次、同一 OOF 预测上的十次事后交互对比），未做族系校正；结论仅由 95% CI 排除零的对比得出。事后对比不改变任何结论：它们确定 E3 与 E2、E5 差异不显著，E4 与 E3 均显著优于无交互。两个边界结果——相位级 mixed vs event（CI [0.002, 0.122]）与测量级 mixed vs random（CI [0.010, 0.141]）——接近显著性阈值，保守地视为提示性而非结论性。第二，E4 vs E2 的 seed-42 bootstrap 显著性（+0.055，CI 排除 0）与较小的三种子逐折均值差异（0.611 vs 0.608，+0.003）并存：bootstrap 差值基于 seed-42 pooled OOF 概率，而逐折均值比较平均各折尺度；因此本文强调效应方向与量级而非单一显著性检验，种子级 bootstrap 检验列为未来工作。第三，K=12 证据仅在 seed 42 可用，视为开发集证据（第五节 E）。</w:t>
      </w:r>
    </w:p>
    <w:p>
      <w:pPr>
        <w:keepNext/>
        <w:spacing w:before="240" w:after="160"/>
      </w:pPr>
      <w:r>
        <w:rPr>
          <w:rFonts w:ascii="Times New Roman" w:hAnsi="Times New Roman" w:eastAsia="黑体"/>
          <w:b/>
          <w:i w:val="0"/>
          <w:color w:val="2E74B5"/>
          <w:sz w:val="28"/>
        </w:rPr>
        <w:t>七、讨论</w:t>
      </w:r>
    </w:p>
    <w:p>
      <w:pPr>
        <w:keepNext/>
        <w:spacing w:before="240" w:after="160"/>
      </w:pPr>
      <w:r>
        <w:rPr>
          <w:rFonts w:ascii="Times New Roman" w:hAnsi="Times New Roman" w:eastAsia="黑体"/>
          <w:b/>
          <w:i w:val="0"/>
          <w:color w:val="1F4D78"/>
          <w:sz w:val="24"/>
        </w:rPr>
        <w:t>A. 模块贡献分析</w:t>
      </w:r>
    </w:p>
    <w:p>
      <w:pPr>
        <w:spacing w:before="0" w:after="60"/>
        <w:ind w:left="360"/>
      </w:pPr>
      <w:r>
        <w:rPr>
          <w:rFonts w:ascii="Times New Roman" w:hAnsi="Times New Roman" w:eastAsia="宋体"/>
          <w:b/>
          <w:i w:val="0"/>
          <w:sz w:val="21"/>
        </w:rPr>
        <w:t>事件窗口作为弱监督的信息锚点</w:t>
      </w:r>
      <w:r>
        <w:rPr>
          <w:rFonts w:ascii="Times New Roman" w:hAnsi="Times New Roman" w:eastAsia="宋体"/>
          <w:b w:val="0"/>
          <w:i w:val="0"/>
          <w:sz w:val="21"/>
        </w:rPr>
        <w:t>：参考架构机制验证中纯事件 ≈ 混合策略（0.591 vs 0.590），表明放电瞬态集中于事件高分区段，等距窗口主要提供背景覆盖；受控采样实验中 E4 亦得相同结论（0.609 vs 0.615）。</w:t>
      </w:r>
    </w:p>
    <w:p>
      <w:pPr>
        <w:spacing w:before="0" w:after="60"/>
        <w:ind w:left="360"/>
      </w:pPr>
      <w:r>
        <w:rPr>
          <w:rFonts w:ascii="Times New Roman" w:hAnsi="Times New Roman" w:eastAsia="宋体"/>
          <w:b/>
          <w:i w:val="0"/>
          <w:sz w:val="21"/>
        </w:rPr>
        <w:t>覆盖密度单调有效</w:t>
      </w:r>
      <w:r>
        <w:rPr>
          <w:rFonts w:ascii="Times New Roman" w:hAnsi="Times New Roman" w:eastAsia="宋体"/>
          <w:b w:val="0"/>
          <w:i w:val="0"/>
          <w:sz w:val="21"/>
        </w:rPr>
        <w:t>：K 从 4 增至 12 持续提升（203k 参考 0.461 → 0.590 → 0.644；历史轻量主模型 0.639 → 0.670），支持覆盖感知采样作为独立贡献。</w:t>
      </w:r>
    </w:p>
    <w:p>
      <w:pPr>
        <w:spacing w:before="0" w:after="60"/>
        <w:ind w:left="360"/>
      </w:pPr>
      <w:r>
        <w:rPr>
          <w:rFonts w:ascii="Times New Roman" w:hAnsi="Times New Roman" w:eastAsia="宋体"/>
          <w:b/>
          <w:i w:val="0"/>
          <w:sz w:val="21"/>
        </w:rPr>
        <w:t>三相交互必要</w:t>
      </w:r>
      <w:r>
        <w:rPr>
          <w:rFonts w:ascii="Times New Roman" w:hAnsi="Times New Roman" w:eastAsia="宋体"/>
          <w:b w:val="0"/>
          <w:i w:val="0"/>
          <w:sz w:val="21"/>
        </w:rPr>
        <w:t>：E1（无交互）在三种子下均为最弱（seed-42 相位 0.483 ± 0.060，低于 E4 约 0.13），历史机制验证显示无交互时下降类似，且单相缺失几乎无退化——三相信号含可利用的冗余结构。</w:t>
      </w:r>
    </w:p>
    <w:p>
      <w:pPr>
        <w:spacing w:before="0" w:after="60"/>
        <w:ind w:left="360"/>
      </w:pPr>
      <w:r>
        <w:rPr>
          <w:rFonts w:ascii="Times New Roman" w:hAnsi="Times New Roman" w:eastAsia="宋体"/>
          <w:b/>
          <w:i w:val="0"/>
          <w:sz w:val="21"/>
        </w:rPr>
        <w:t>交互形式</w:t>
      </w:r>
      <w:r>
        <w:rPr>
          <w:rFonts w:ascii="Times New Roman" w:hAnsi="Times New Roman" w:eastAsia="宋体"/>
          <w:b w:val="0"/>
          <w:i w:val="0"/>
          <w:sz w:val="21"/>
        </w:rPr>
        <w:t>：配对 bootstrap 表明 context-concat（E4）显著优于均值共享得分（E2）与 context-add（E5）；与最大聚合（E3）差异不显著，但 E4 仍为主模型，因为 E3 无法产生逐相独立分数（第五节 C）。层级测量损失（E6）无显著增益——负结果如实报告。</w:t>
      </w:r>
    </w:p>
    <w:p>
      <w:pPr>
        <w:spacing w:before="0" w:after="60"/>
        <w:ind w:left="360"/>
      </w:pPr>
      <w:r>
        <w:rPr>
          <w:rFonts w:ascii="Times New Roman" w:hAnsi="Times New Roman" w:eastAsia="宋体"/>
          <w:b/>
          <w:i w:val="0"/>
          <w:sz w:val="21"/>
        </w:rPr>
        <w:t>受控采样证据</w:t>
      </w:r>
      <w:r>
        <w:rPr>
          <w:rFonts w:ascii="Times New Roman" w:hAnsi="Times New Roman" w:eastAsia="宋体"/>
          <w:b w:val="0"/>
          <w:i w:val="0"/>
          <w:sz w:val="21"/>
        </w:rPr>
        <w:t>：固定架构下均匀 K=8 最弱（0.513/0.537）；混合 K=8 以约 12× 更低 MACs 与 4.7× 更低 GPU 延迟优于全信号基线（0.615 vs 0.345）；显著性仅在 CI 排除零处宣称。</w:t>
      </w:r>
    </w:p>
    <w:p>
      <w:pPr>
        <w:spacing w:before="0" w:after="60"/>
        <w:ind w:left="360"/>
      </w:pPr>
      <w:r>
        <w:rPr>
          <w:rFonts w:ascii="Times New Roman" w:hAnsi="Times New Roman" w:eastAsia="宋体"/>
          <w:b/>
          <w:i w:val="0"/>
          <w:sz w:val="21"/>
        </w:rPr>
        <w:t>轻量定位为权衡</w:t>
      </w:r>
      <w:r>
        <w:rPr>
          <w:rFonts w:ascii="Times New Roman" w:hAnsi="Times New Roman" w:eastAsia="宋体"/>
          <w:b w:val="0"/>
          <w:i w:val="0"/>
          <w:sz w:val="21"/>
        </w:rPr>
        <w:t>：主模型执行 97,201 个参数（总 113,265，含 16,064 个不执行的物理特征分支权重），62.8M MACs 与 5.35 ms GPU 单样本前向延迟（预提取窗口，Stage-2 同会话复测），参数少于参考架构（203,634）。较大深度基线中仅 ResNet1D 显著更高，代价约 263× MACs。因此 E4 以较低测量成本取得有竞争力的性能，而非宣称更高精度。</w:t>
      </w:r>
    </w:p>
    <w:p>
      <w:pPr>
        <w:keepNext/>
        <w:spacing w:before="240" w:after="160"/>
      </w:pPr>
      <w:r>
        <w:rPr>
          <w:rFonts w:ascii="Times New Roman" w:hAnsi="Times New Roman" w:eastAsia="黑体"/>
          <w:b/>
          <w:i w:val="0"/>
          <w:color w:val="1F4D78"/>
          <w:sz w:val="24"/>
        </w:rPr>
        <w:t>B. 局限性与未来工作</w:t>
      </w:r>
    </w:p>
    <w:p>
      <w:pPr>
        <w:spacing w:before="0" w:after="60"/>
        <w:ind w:left="360"/>
      </w:pPr>
      <w:r>
        <w:rPr>
          <w:rFonts w:ascii="Times New Roman" w:hAnsi="Times New Roman" w:eastAsia="宋体"/>
          <w:b w:val="0"/>
          <w:i w:val="0"/>
          <w:sz w:val="21"/>
        </w:rPr>
        <w:t>独立测试闭环已关闭（第五节 J）：ROC-AUC 0.899 与 13.8× vs 10.3× 的阳性率归一化提升比确认 1.57% 阳性率下判别保持；定量阳性率分解（第五节 J.3）将表观 PR-AUC 下降的约 77% 归因于阳性率差异（Δπ = −0.242）、约 23% 归因于真实域偏移（Δshift = −0.073）；更多保留分块可进一步降低统计不确定性。</w:t>
      </w:r>
    </w:p>
    <w:p>
      <w:pPr>
        <w:spacing w:before="0" w:after="60"/>
        <w:ind w:left="360"/>
      </w:pPr>
      <w:r>
        <w:rPr>
          <w:rFonts w:ascii="Times New Roman" w:hAnsi="Times New Roman" w:eastAsia="宋体"/>
          <w:b w:val="0"/>
          <w:i w:val="0"/>
          <w:sz w:val="21"/>
        </w:rPr>
        <w:t>历史锁定主模型的鲁棒性证据显示：5 dB 噪声使相位 PR-AUC 下降 67%，固定窗口零填充偏移 ±64/±128 造成 34–84% 下降（方向不对称，+128 最差）；随机时间偏移增强变体将下降收窄至 ±3% 以内且开发集逐折均值几乎不变（0.632 ± 0.066 vs 0.639 ± 0.055）。E4 主模型显著更抗噪（5 dB：+3.7%；第五节 F），但保留相同的时间对齐敏感性（−47% 至 −73%），故时间偏移增强变体仍是主模型的推荐缓解措施；增强变体不进入盲测。</w:t>
      </w:r>
    </w:p>
    <w:p>
      <w:pPr>
        <w:spacing w:before="0" w:after="60"/>
        <w:ind w:left="360"/>
      </w:pPr>
      <w:r>
        <w:rPr>
          <w:rFonts w:ascii="Times New Roman" w:hAnsi="Times New Roman" w:eastAsia="宋体"/>
          <w:b w:val="0"/>
          <w:i w:val="0"/>
          <w:sz w:val="21"/>
        </w:rPr>
        <w:t>跨设备零样本迁移仍受限（历史轻量主模型）：电机 PD/噪声上有效（ROC 0.665 / PR 0.690），但在 28523090 C1→C2 跨设备任务上失效（ROC 0.432–0.547，F1 = 0）；少量目标域标注数据即可通过 from-scratch/fine-tune 恢复强性能（ROC 0.81–0.96）。</w:t>
      </w:r>
    </w:p>
    <w:p>
      <w:pPr>
        <w:spacing w:before="0" w:after="60"/>
        <w:ind w:left="360"/>
      </w:pPr>
      <w:r>
        <w:rPr>
          <w:rFonts w:ascii="Times New Roman" w:hAnsi="Times New Roman" w:eastAsia="宋体"/>
          <w:b w:val="0"/>
          <w:i w:val="0"/>
          <w:sz w:val="21"/>
        </w:rPr>
        <w:t>匹配编码器与 E1–E6 的显著性证据主要依赖 seed-42 配对 bootstrap；E4 有 3 种子 × 5 折稳定性，但种子级统计检验与 K=12 的显著性证据需要更多重复（第六节 D）。</w:t>
      </w:r>
    </w:p>
    <w:p>
      <w:pPr>
        <w:spacing w:before="0" w:after="60"/>
        <w:ind w:left="360"/>
      </w:pPr>
      <w:r>
        <w:rPr>
          <w:rFonts w:ascii="Times New Roman" w:hAnsi="Times New Roman" w:eastAsia="宋体"/>
          <w:b w:val="0"/>
          <w:i w:val="0"/>
          <w:sz w:val="21"/>
        </w:rPr>
        <w:t>全信号基线刻意保持相同轻量架构以隔离采样变量；为 80 万点序列设计的全信号模型（下采样、分段聚合、更强编码器）不在本文范围，可能以全数据代价提升绝对性能。</w:t>
      </w:r>
    </w:p>
    <w:p>
      <w:pPr>
        <w:spacing w:before="0" w:after="60"/>
        <w:ind w:left="360"/>
      </w:pPr>
      <w:r>
        <w:rPr>
          <w:rFonts w:ascii="Times New Roman" w:hAnsi="Times New Roman" w:eastAsia="宋体"/>
          <w:b w:val="0"/>
          <w:i w:val="0"/>
          <w:sz w:val="21"/>
        </w:rPr>
        <w:t>可选扩展包括自监督预训练（VICReg）与更大注意力架构，增益需以本文基线验证；标注比例实验（第五节 I）已量化弱监督收益（50% 标签 → 全监督性能的 88%）。</w:t>
      </w:r>
    </w:p>
    <w:p>
      <w:pPr>
        <w:spacing w:before="0" w:after="60"/>
        <w:ind w:left="360"/>
      </w:pPr>
      <w:r>
        <w:rPr>
          <w:rFonts w:ascii="Times New Roman" w:hAnsi="Times New Roman" w:eastAsia="宋体"/>
          <w:b w:val="0"/>
          <w:i w:val="0"/>
          <w:sz w:val="21"/>
        </w:rPr>
        <w:t>阈值选择目前依赖开发集 OOF max-MCC/固定阈值准则；部署必须纳入现场特定误报成本。</w:t>
      </w:r>
    </w:p>
    <w:p>
      <w:pPr>
        <w:spacing w:before="0" w:after="60"/>
        <w:ind w:left="360"/>
      </w:pPr>
      <w:r>
        <w:rPr>
          <w:rFonts w:ascii="Times New Roman" w:hAnsi="Times New Roman" w:eastAsia="宋体"/>
          <w:b w:val="0"/>
          <w:i w:val="0"/>
          <w:sz w:val="21"/>
        </w:rPr>
        <w:t>Zheng 时频编码器已在 E4 协议下复测（第五节 D：0.703 ± 0.025）；经典检测器基线与采样参数敏感性见第五节 B 与 K [t3]。</w:t>
      </w:r>
    </w:p>
    <w:p>
      <w:pPr>
        <w:keepNext/>
        <w:spacing w:before="240" w:after="160"/>
      </w:pPr>
      <w:r>
        <w:rPr>
          <w:rFonts w:ascii="Times New Roman" w:hAnsi="Times New Roman" w:eastAsia="黑体"/>
          <w:b/>
          <w:i w:val="0"/>
          <w:color w:val="2E74B5"/>
          <w:sz w:val="28"/>
        </w:rPr>
        <w:t>八、结论</w:t>
      </w:r>
    </w:p>
    <w:p>
      <w:pPr>
        <w:spacing w:before="0" w:after="120"/>
      </w:pPr>
      <w:r>
        <w:rPr>
          <w:rFonts w:ascii="Times New Roman" w:hAnsi="Times New Roman" w:eastAsia="宋体"/>
          <w:b w:val="0"/>
          <w:i w:val="0"/>
          <w:sz w:val="21"/>
        </w:rPr>
        <w:t>本文研究了覆盖感知信息选择与层级弱监督结构作为极长、稀疏、弱标注三相工业信号的联合测量设计变量，使用真实 VSB PD 测量数据。合理的信息选择（事件窗口与覆盖密度）显著降低对模型容量的依赖，同时以较低成本维持有竞争力的检测性能：主模型（纯 CNN 编码器 + 注意力 MIL + context-concat；总 113,265 / 执行 97,201 参数）在 5 折开发集交叉验证中达到逐相位 PR-AUC 0.615 ± 0.053、测量级 0.643 ± 0.053（三种子均值 0.611 ± 0.006 / 0.639 ± 0.008），相对最强传统基线绝对提升 +0.409（逐折口径；pooled-OOF +0.335），62.8M MACs 与 5.35 ms GPU 单样本前向延迟。配对聚类 bootstrap 表明 context-concat 显著优于共享得分与加性交互；层级测量损失为负结果；匹配编码器中仅 ResNet1D 显著更高，代价约 263× MACs，故本文宣称精度-效率权衡而非最高精度。受控采样实验证明信息选择本身是关键设计变量：均匀 K=8 达 0.513/0.537、随机 K=8 0.579/0.601、全信号基线 0.345/0.387（约 12× MACs）。E4 主模型在独立保留分块（83,233 个相位信号）上完成一次性盲测：ROC-AUC 0.899，阳性率归一化提升比 13.8× vs 开发集 10.3×。所有实验在哈希校验分割锁与一次性评估协议下进行，为长序列、弱标注、高度不平衡的工业测量信号提供了泄漏安全、可复现的基准流程，并揭示了信息选择在降低测量与模型成本中的核心作用。</w:t>
      </w:r>
    </w:p>
    <w:p>
      <w:pPr>
        <w:keepNext/>
        <w:spacing w:before="240" w:after="160"/>
      </w:pPr>
      <w:r>
        <w:rPr>
          <w:rFonts w:ascii="Times New Roman" w:hAnsi="Times New Roman" w:eastAsia="黑体"/>
          <w:b/>
          <w:i w:val="0"/>
          <w:color w:val="2E74B5"/>
          <w:sz w:val="28"/>
        </w:rPr>
        <w:t>参考文献</w:t>
      </w:r>
    </w:p>
    <w:p>
      <w:pPr>
        <w:spacing w:before="0" w:after="120"/>
      </w:pPr>
      <w:r>
        <w:rPr>
          <w:rFonts w:ascii="Times New Roman" w:hAnsi="Times New Roman" w:eastAsia="宋体"/>
          <w:b w:val="0"/>
          <w:i w:val="0"/>
          <w:sz w:val="21"/>
        </w:rPr>
        <w:t xml:space="preserve">[1] W. J. K. Raymond, H. A. Illias, A. H. Abu Bakar, and H. Mokhlis, "Partial discharge classifications: Review of recent progress," </w:t>
      </w:r>
      <w:r>
        <w:rPr>
          <w:rFonts w:ascii="Times New Roman" w:hAnsi="Times New Roman" w:eastAsia="宋体"/>
          <w:b w:val="0"/>
          <w:i/>
          <w:sz w:val="21"/>
        </w:rPr>
        <w:t>Measurement</w:t>
      </w:r>
      <w:r>
        <w:rPr>
          <w:rFonts w:ascii="Times New Roman" w:hAnsi="Times New Roman" w:eastAsia="宋体"/>
          <w:b w:val="0"/>
          <w:i w:val="0"/>
          <w:sz w:val="21"/>
        </w:rPr>
        <w:t>, vol. 68, pp. 164–181, 2015, doi: 10.1016/j.measurement.2015.02.032.</w:t>
      </w:r>
    </w:p>
    <w:p>
      <w:pPr>
        <w:spacing w:before="0" w:after="120"/>
      </w:pPr>
      <w:r>
        <w:rPr>
          <w:rFonts w:ascii="Times New Roman" w:hAnsi="Times New Roman" w:eastAsia="宋体"/>
          <w:b w:val="0"/>
          <w:i w:val="0"/>
          <w:sz w:val="21"/>
        </w:rPr>
        <w:t xml:space="preserve">[2] G. C. Stone, "Partial discharge diagnostics and electrical equipment insulation condition assessment," </w:t>
      </w:r>
      <w:r>
        <w:rPr>
          <w:rFonts w:ascii="Times New Roman" w:hAnsi="Times New Roman" w:eastAsia="宋体"/>
          <w:b w:val="0"/>
          <w:i/>
          <w:sz w:val="21"/>
        </w:rPr>
        <w:t>IEEE Trans. Dielectr. Electr. Insul.</w:t>
      </w:r>
      <w:r>
        <w:rPr>
          <w:rFonts w:ascii="Times New Roman" w:hAnsi="Times New Roman" w:eastAsia="宋体"/>
          <w:b w:val="0"/>
          <w:i w:val="0"/>
          <w:sz w:val="21"/>
        </w:rPr>
        <w:t>, vol. 12, no. 5, pp. 891–904, 2005, doi: 10.1109/TDEI.2005.1522184.</w:t>
      </w:r>
    </w:p>
    <w:p>
      <w:pPr>
        <w:spacing w:before="0" w:after="120"/>
      </w:pPr>
      <w:r>
        <w:rPr>
          <w:rFonts w:ascii="Times New Roman" w:hAnsi="Times New Roman" w:eastAsia="宋体"/>
          <w:b w:val="0"/>
          <w:i w:val="0"/>
          <w:sz w:val="21"/>
        </w:rPr>
        <w:t xml:space="preserve">[3] S. Akram, P. Wang, X. Zhu, J. Huang, F. Liu, Z. Fang, and H. Ahmed, "Prediction of partial discharge inception voltage for electric vehicle motor insulation using deep learning," </w:t>
      </w:r>
      <w:r>
        <w:rPr>
          <w:rFonts w:ascii="Times New Roman" w:hAnsi="Times New Roman" w:eastAsia="宋体"/>
          <w:b w:val="0"/>
          <w:i/>
          <w:sz w:val="21"/>
        </w:rPr>
        <w:t>IEEE Trans. Instrum. Meas.</w:t>
      </w:r>
      <w:r>
        <w:rPr>
          <w:rFonts w:ascii="Times New Roman" w:hAnsi="Times New Roman" w:eastAsia="宋体"/>
          <w:b w:val="0"/>
          <w:i w:val="0"/>
          <w:sz w:val="21"/>
        </w:rPr>
        <w:t>, vol. 72, pp. 1–10, 2023, doi: 10.1109/TIM.2023.3269120.</w:t>
      </w:r>
    </w:p>
    <w:p>
      <w:pPr>
        <w:spacing w:before="0" w:after="120"/>
      </w:pPr>
      <w:r>
        <w:rPr>
          <w:rFonts w:ascii="Times New Roman" w:hAnsi="Times New Roman" w:eastAsia="宋体"/>
          <w:b w:val="0"/>
          <w:i w:val="0"/>
          <w:sz w:val="21"/>
        </w:rPr>
        <w:t xml:space="preserve">[4] A. Ishaq, M. Junaid, G. A. Hussain, S. U. Khan, Y. Chen, and D. Yu, "Partial discharge defect classification in MV switchgear by using CWT and deep learning approach," </w:t>
      </w:r>
      <w:r>
        <w:rPr>
          <w:rFonts w:ascii="Times New Roman" w:hAnsi="Times New Roman" w:eastAsia="宋体"/>
          <w:b w:val="0"/>
          <w:i/>
          <w:sz w:val="21"/>
        </w:rPr>
        <w:t>IEEE Trans. Instrum. Meas.</w:t>
      </w:r>
      <w:r>
        <w:rPr>
          <w:rFonts w:ascii="Times New Roman" w:hAnsi="Times New Roman" w:eastAsia="宋体"/>
          <w:b w:val="0"/>
          <w:i w:val="0"/>
          <w:sz w:val="21"/>
        </w:rPr>
        <w:t>, vol. 74, pp. 1–12, 2025, doi: 10.1109/TIM.2025.3562981.</w:t>
      </w:r>
    </w:p>
    <w:p>
      <w:pPr>
        <w:spacing w:before="0" w:after="120"/>
      </w:pPr>
      <w:r>
        <w:rPr>
          <w:rFonts w:ascii="Times New Roman" w:hAnsi="Times New Roman" w:eastAsia="宋体"/>
          <w:b w:val="0"/>
          <w:i w:val="0"/>
          <w:sz w:val="21"/>
        </w:rPr>
        <w:t xml:space="preserve">[5] Y. Wang, J. Yan, Z. Yang, Y. Wu, J. Wang, and Y. Geng, "Generative zero-shot learning for partial discharge diagnosis in gas-insulated switchgear," </w:t>
      </w:r>
      <w:r>
        <w:rPr>
          <w:rFonts w:ascii="Times New Roman" w:hAnsi="Times New Roman" w:eastAsia="宋体"/>
          <w:b w:val="0"/>
          <w:i/>
          <w:sz w:val="21"/>
        </w:rPr>
        <w:t>IEEE Trans. Instrum. Meas.</w:t>
      </w:r>
      <w:r>
        <w:rPr>
          <w:rFonts w:ascii="Times New Roman" w:hAnsi="Times New Roman" w:eastAsia="宋体"/>
          <w:b w:val="0"/>
          <w:i w:val="0"/>
          <w:sz w:val="21"/>
        </w:rPr>
        <w:t>, vol. 72, pp. 1–11, 2023, doi: 10.1109/TIM.2023.3264022.</w:t>
      </w:r>
    </w:p>
    <w:p>
      <w:pPr>
        <w:spacing w:before="0" w:after="120"/>
      </w:pPr>
      <w:r>
        <w:rPr>
          <w:rFonts w:ascii="Times New Roman" w:hAnsi="Times New Roman" w:eastAsia="宋体"/>
          <w:b w:val="0"/>
          <w:i w:val="0"/>
          <w:sz w:val="21"/>
        </w:rPr>
        <w:t xml:space="preserve">[6] M.-T. Nguyen, V.-H. Nguyen, S.-J. Yun, and Y.-H. Kim, "Recurrent neural network for partial discharge diagnosis in gas-insulated switchgear," </w:t>
      </w:r>
      <w:r>
        <w:rPr>
          <w:rFonts w:ascii="Times New Roman" w:hAnsi="Times New Roman" w:eastAsia="宋体"/>
          <w:b w:val="0"/>
          <w:i/>
          <w:sz w:val="21"/>
        </w:rPr>
        <w:t>Energies</w:t>
      </w:r>
      <w:r>
        <w:rPr>
          <w:rFonts w:ascii="Times New Roman" w:hAnsi="Times New Roman" w:eastAsia="宋体"/>
          <w:b w:val="0"/>
          <w:i w:val="0"/>
          <w:sz w:val="21"/>
        </w:rPr>
        <w:t>, vol. 11, no. 5, p. 1202, 2018, doi: 10.3390/en11051202.</w:t>
      </w:r>
    </w:p>
    <w:p>
      <w:pPr>
        <w:spacing w:before="0" w:after="120"/>
      </w:pPr>
      <w:r>
        <w:rPr>
          <w:rFonts w:ascii="Times New Roman" w:hAnsi="Times New Roman" w:eastAsia="宋体"/>
          <w:b w:val="0"/>
          <w:i w:val="0"/>
          <w:sz w:val="21"/>
        </w:rPr>
        <w:t xml:space="preserve">[7] J. Zheng, Z. Chen, Q. Wang, H. Qiang, and W. Xu, "GIS partial discharge pattern recognition based on time-frequency features and improved convolutional neural network," </w:t>
      </w:r>
      <w:r>
        <w:rPr>
          <w:rFonts w:ascii="Times New Roman" w:hAnsi="Times New Roman" w:eastAsia="宋体"/>
          <w:b w:val="0"/>
          <w:i/>
          <w:sz w:val="21"/>
        </w:rPr>
        <w:t>Energies</w:t>
      </w:r>
      <w:r>
        <w:rPr>
          <w:rFonts w:ascii="Times New Roman" w:hAnsi="Times New Roman" w:eastAsia="宋体"/>
          <w:b w:val="0"/>
          <w:i w:val="0"/>
          <w:sz w:val="21"/>
        </w:rPr>
        <w:t>, vol. 15, no. 19, p. 7372, 2022, doi: 10.3390/en15197372.</w:t>
      </w:r>
    </w:p>
    <w:p>
      <w:pPr>
        <w:spacing w:before="0" w:after="120"/>
      </w:pPr>
      <w:r>
        <w:rPr>
          <w:rFonts w:ascii="Times New Roman" w:hAnsi="Times New Roman" w:eastAsia="宋体"/>
          <w:b w:val="0"/>
          <w:i w:val="0"/>
          <w:sz w:val="21"/>
        </w:rPr>
        <w:t xml:space="preserve">[8] Z. Fei, Y. Li, and S. Yang, "Partial discharge pattern recognition based on an ensembled simple convolutional neural network and a quadratic support vector machine," </w:t>
      </w:r>
      <w:r>
        <w:rPr>
          <w:rFonts w:ascii="Times New Roman" w:hAnsi="Times New Roman" w:eastAsia="宋体"/>
          <w:b w:val="0"/>
          <w:i/>
          <w:sz w:val="21"/>
        </w:rPr>
        <w:t>Energies</w:t>
      </w:r>
      <w:r>
        <w:rPr>
          <w:rFonts w:ascii="Times New Roman" w:hAnsi="Times New Roman" w:eastAsia="宋体"/>
          <w:b w:val="0"/>
          <w:i w:val="0"/>
          <w:sz w:val="21"/>
        </w:rPr>
        <w:t>, vol. 17, no. 11, p. 2443, 2024, doi: 10.3390/en17112443.</w:t>
      </w:r>
    </w:p>
    <w:p>
      <w:pPr>
        <w:spacing w:before="0" w:after="120"/>
      </w:pPr>
      <w:r>
        <w:rPr>
          <w:rFonts w:ascii="Times New Roman" w:hAnsi="Times New Roman" w:eastAsia="宋体"/>
          <w:b w:val="0"/>
          <w:i w:val="0"/>
          <w:sz w:val="21"/>
        </w:rPr>
        <w:t xml:space="preserve">[9] S. Misak, S. Hamacek, P. Bilik, J. Hofinek, and P. Petvaldsky, "Problems associated with covered conductor fault detection," in </w:t>
      </w:r>
      <w:r>
        <w:rPr>
          <w:rFonts w:ascii="Times New Roman" w:hAnsi="Times New Roman" w:eastAsia="宋体"/>
          <w:b w:val="0"/>
          <w:i/>
          <w:sz w:val="21"/>
        </w:rPr>
        <w:t>Proc. 11th Int. Conf. Electr. Power Quality Utilisation</w:t>
      </w:r>
      <w:r>
        <w:rPr>
          <w:rFonts w:ascii="Times New Roman" w:hAnsi="Times New Roman" w:eastAsia="宋体"/>
          <w:b w:val="0"/>
          <w:i w:val="0"/>
          <w:sz w:val="21"/>
        </w:rPr>
        <w:t>, 2011, pp. 1–5, doi: 10.1109/EPQU.2011.6128806.</w:t>
      </w:r>
    </w:p>
    <w:p>
      <w:pPr>
        <w:spacing w:before="0" w:after="120"/>
      </w:pPr>
      <w:r>
        <w:rPr>
          <w:rFonts w:ascii="Times New Roman" w:hAnsi="Times New Roman" w:eastAsia="宋体"/>
          <w:b w:val="0"/>
          <w:i w:val="0"/>
          <w:sz w:val="21"/>
        </w:rPr>
        <w:t xml:space="preserve">[10] G. M. Hashmi and M. Lehtonen, "On-line PD detection for condition monitoring of covered-conductor overhead distribution networks—A literature survey," in </w:t>
      </w:r>
      <w:r>
        <w:rPr>
          <w:rFonts w:ascii="Times New Roman" w:hAnsi="Times New Roman" w:eastAsia="宋体"/>
          <w:b w:val="0"/>
          <w:i/>
          <w:sz w:val="21"/>
        </w:rPr>
        <w:t>Proc. 2nd Int. Conf. Electr. Eng.</w:t>
      </w:r>
      <w:r>
        <w:rPr>
          <w:rFonts w:ascii="Times New Roman" w:hAnsi="Times New Roman" w:eastAsia="宋体"/>
          <w:b w:val="0"/>
          <w:i w:val="0"/>
          <w:sz w:val="21"/>
        </w:rPr>
        <w:t>, 2008, pp. 1–6, doi: 10.1109/ICEE.2008.4553933.</w:t>
      </w:r>
    </w:p>
    <w:p>
      <w:pPr>
        <w:spacing w:before="0" w:after="120"/>
      </w:pPr>
      <w:r>
        <w:rPr>
          <w:rFonts w:ascii="Times New Roman" w:hAnsi="Times New Roman" w:eastAsia="宋体"/>
          <w:b w:val="0"/>
          <w:i w:val="0"/>
          <w:sz w:val="21"/>
        </w:rPr>
        <w:t>[11] VSB Power Line Fault Detection, Kaggle Competition, 2019. [Online]. Available: https://www.kaggle.com/c/vsb-power-line-fault-detection</w:t>
      </w:r>
    </w:p>
    <w:p>
      <w:pPr>
        <w:spacing w:before="0" w:after="120"/>
      </w:pPr>
      <w:r>
        <w:rPr>
          <w:rFonts w:ascii="Times New Roman" w:hAnsi="Times New Roman" w:eastAsia="宋体"/>
          <w:b w:val="0"/>
          <w:i w:val="0"/>
          <w:sz w:val="21"/>
        </w:rPr>
        <w:t xml:space="preserve">[12] </w:t>
      </w:r>
      <w:r>
        <w:rPr>
          <w:rFonts w:ascii="Times New Roman" w:hAnsi="Times New Roman" w:eastAsia="宋体"/>
          <w:b w:val="0"/>
          <w:i/>
          <w:sz w:val="21"/>
        </w:rPr>
        <w:t>High-Voltage Test Techniques—Partial Discharge Measurements</w:t>
      </w:r>
      <w:r>
        <w:rPr>
          <w:rFonts w:ascii="Times New Roman" w:hAnsi="Times New Roman" w:eastAsia="宋体"/>
          <w:b w:val="0"/>
          <w:i w:val="0"/>
          <w:sz w:val="21"/>
        </w:rPr>
        <w:t>, IEC 60270:2000+AMD1:2015, International Electrotechnical Commission, 2015.</w:t>
      </w:r>
    </w:p>
    <w:p>
      <w:pPr>
        <w:spacing w:before="0" w:after="120"/>
      </w:pPr>
      <w:r>
        <w:rPr>
          <w:rFonts w:ascii="Times New Roman" w:hAnsi="Times New Roman" w:eastAsia="宋体"/>
          <w:b w:val="0"/>
          <w:i w:val="0"/>
          <w:sz w:val="21"/>
        </w:rPr>
        <w:t xml:space="preserve">[13] </w:t>
      </w:r>
      <w:r>
        <w:rPr>
          <w:rFonts w:ascii="Times New Roman" w:hAnsi="Times New Roman" w:eastAsia="宋体"/>
          <w:b w:val="0"/>
          <w:i/>
          <w:sz w:val="21"/>
        </w:rPr>
        <w:t>High-Voltage Test Techniques—Measurement of Partial Discharges by Electromagnetic and Acoustic Methods</w:t>
      </w:r>
      <w:r>
        <w:rPr>
          <w:rFonts w:ascii="Times New Roman" w:hAnsi="Times New Roman" w:eastAsia="宋体"/>
          <w:b w:val="0"/>
          <w:i w:val="0"/>
          <w:sz w:val="21"/>
        </w:rPr>
        <w:t>, IEC TS 62478:2016, International Electrotechnical Commission, 2016.</w:t>
      </w:r>
    </w:p>
    <w:p>
      <w:pPr>
        <w:spacing w:before="0" w:after="120"/>
      </w:pPr>
      <w:r>
        <w:rPr>
          <w:rFonts w:ascii="Times New Roman" w:hAnsi="Times New Roman" w:eastAsia="宋体"/>
          <w:b w:val="0"/>
          <w:i w:val="0"/>
          <w:sz w:val="21"/>
        </w:rPr>
        <w:t xml:space="preserve">[14] T. G. Dietterich, R. H. Lathrop, and T. Lozano-Pérez, "Solving the multiple instance problem with axis-parallel rectangles," </w:t>
      </w:r>
      <w:r>
        <w:rPr>
          <w:rFonts w:ascii="Times New Roman" w:hAnsi="Times New Roman" w:eastAsia="宋体"/>
          <w:b w:val="0"/>
          <w:i/>
          <w:sz w:val="21"/>
        </w:rPr>
        <w:t>Artif. Intell.</w:t>
      </w:r>
      <w:r>
        <w:rPr>
          <w:rFonts w:ascii="Times New Roman" w:hAnsi="Times New Roman" w:eastAsia="宋体"/>
          <w:b w:val="0"/>
          <w:i w:val="0"/>
          <w:sz w:val="21"/>
        </w:rPr>
        <w:t>, vol. 89, no. 1-2, pp. 31–71, 1997.</w:t>
      </w:r>
    </w:p>
    <w:p>
      <w:pPr>
        <w:spacing w:before="0" w:after="120"/>
      </w:pPr>
      <w:r>
        <w:rPr>
          <w:rFonts w:ascii="Times New Roman" w:hAnsi="Times New Roman" w:eastAsia="宋体"/>
          <w:b w:val="0"/>
          <w:i w:val="0"/>
          <w:sz w:val="21"/>
        </w:rPr>
        <w:t xml:space="preserve">[15] O. Maron and T. Lozano-Pérez, "A framework for multiple-instance learning," in </w:t>
      </w:r>
      <w:r>
        <w:rPr>
          <w:rFonts w:ascii="Times New Roman" w:hAnsi="Times New Roman" w:eastAsia="宋体"/>
          <w:b w:val="0"/>
          <w:i/>
          <w:sz w:val="21"/>
        </w:rPr>
        <w:t>Proc. NIPS</w:t>
      </w:r>
      <w:r>
        <w:rPr>
          <w:rFonts w:ascii="Times New Roman" w:hAnsi="Times New Roman" w:eastAsia="宋体"/>
          <w:b w:val="0"/>
          <w:i w:val="0"/>
          <w:sz w:val="21"/>
        </w:rPr>
        <w:t>, 1998, pp. 570–576.</w:t>
      </w:r>
    </w:p>
    <w:p>
      <w:pPr>
        <w:spacing w:before="0" w:after="120"/>
      </w:pPr>
      <w:r>
        <w:rPr>
          <w:rFonts w:ascii="Times New Roman" w:hAnsi="Times New Roman" w:eastAsia="宋体"/>
          <w:b w:val="0"/>
          <w:i w:val="0"/>
          <w:sz w:val="21"/>
        </w:rPr>
        <w:t xml:space="preserve">[16] M. Ilse, J. M. Tomczak, and M. Welling, "Attention-based deep multiple instance learning," in </w:t>
      </w:r>
      <w:r>
        <w:rPr>
          <w:rFonts w:ascii="Times New Roman" w:hAnsi="Times New Roman" w:eastAsia="宋体"/>
          <w:b w:val="0"/>
          <w:i/>
          <w:sz w:val="21"/>
        </w:rPr>
        <w:t>Proc. ICML</w:t>
      </w:r>
      <w:r>
        <w:rPr>
          <w:rFonts w:ascii="Times New Roman" w:hAnsi="Times New Roman" w:eastAsia="宋体"/>
          <w:b w:val="0"/>
          <w:i w:val="0"/>
          <w:sz w:val="21"/>
        </w:rPr>
        <w:t>, 2018, pp. 2127–2136.</w:t>
      </w:r>
    </w:p>
    <w:p>
      <w:pPr>
        <w:spacing w:before="0" w:after="120"/>
      </w:pPr>
      <w:r>
        <w:rPr>
          <w:rFonts w:ascii="Times New Roman" w:hAnsi="Times New Roman" w:eastAsia="宋体"/>
          <w:b w:val="0"/>
          <w:i w:val="0"/>
          <w:sz w:val="21"/>
        </w:rPr>
        <w:t xml:space="preserve">[17] K. Han and A. M. Y. H. Koay, "HITS: Hierarchical interpretable time series classification via multiple instance learning," in </w:t>
      </w:r>
      <w:r>
        <w:rPr>
          <w:rFonts w:ascii="Times New Roman" w:hAnsi="Times New Roman" w:eastAsia="宋体"/>
          <w:b w:val="0"/>
          <w:i/>
          <w:sz w:val="21"/>
        </w:rPr>
        <w:t>Proc. IJCNN</w:t>
      </w:r>
      <w:r>
        <w:rPr>
          <w:rFonts w:ascii="Times New Roman" w:hAnsi="Times New Roman" w:eastAsia="宋体"/>
          <w:b w:val="0"/>
          <w:i w:val="0"/>
          <w:sz w:val="21"/>
        </w:rPr>
        <w:t>, 2025, pp. 1–8, doi: 10.1109/IJCNN64981.2025.11227767.</w:t>
      </w:r>
    </w:p>
    <w:p>
      <w:pPr>
        <w:spacing w:before="0" w:after="120"/>
      </w:pPr>
      <w:r>
        <w:rPr>
          <w:rFonts w:ascii="Times New Roman" w:hAnsi="Times New Roman" w:eastAsia="宋体"/>
          <w:b w:val="0"/>
          <w:i w:val="0"/>
          <w:sz w:val="21"/>
        </w:rPr>
        <w:t xml:space="preserve">[18] L. Guo and D. Niu, "Operation condition assessment for elevators based on deep Siamese network and T-S semi-supervision model," </w:t>
      </w:r>
      <w:r>
        <w:rPr>
          <w:rFonts w:ascii="Times New Roman" w:hAnsi="Times New Roman" w:eastAsia="宋体"/>
          <w:b w:val="0"/>
          <w:i/>
          <w:sz w:val="21"/>
        </w:rPr>
        <w:t>IEEE Trans. Instrum. Meas.</w:t>
      </w:r>
      <w:r>
        <w:rPr>
          <w:rFonts w:ascii="Times New Roman" w:hAnsi="Times New Roman" w:eastAsia="宋体"/>
          <w:b w:val="0"/>
          <w:i w:val="0"/>
          <w:sz w:val="21"/>
        </w:rPr>
        <w:t>, vol. 73, Art. no. 7503013, 2024.</w:t>
      </w:r>
    </w:p>
    <w:p>
      <w:pPr>
        <w:spacing w:before="0" w:after="120"/>
      </w:pPr>
      <w:r>
        <w:rPr>
          <w:rFonts w:ascii="Times New Roman" w:hAnsi="Times New Roman" w:eastAsia="宋体"/>
          <w:b w:val="0"/>
          <w:i w:val="0"/>
          <w:sz w:val="21"/>
        </w:rPr>
        <w:t xml:space="preserve">[19] 开集半监督对比学习轴承故障诊断, </w:t>
      </w:r>
      <w:r>
        <w:rPr>
          <w:rFonts w:ascii="Times New Roman" w:hAnsi="Times New Roman" w:eastAsia="宋体"/>
          <w:b w:val="0"/>
          <w:i/>
          <w:sz w:val="21"/>
        </w:rPr>
        <w:t>IEEE Trans. Instrum. Meas.</w:t>
      </w:r>
      <w:r>
        <w:rPr>
          <w:rFonts w:ascii="Times New Roman" w:hAnsi="Times New Roman" w:eastAsia="宋体"/>
          <w:b w:val="0"/>
          <w:i w:val="0"/>
          <w:sz w:val="21"/>
        </w:rPr>
        <w:t>, 2025.</w:t>
      </w:r>
    </w:p>
    <w:p>
      <w:pPr>
        <w:spacing w:before="0" w:after="120"/>
      </w:pPr>
      <w:r>
        <w:rPr>
          <w:rFonts w:ascii="Times New Roman" w:hAnsi="Times New Roman" w:eastAsia="宋体"/>
          <w:b w:val="0"/>
          <w:i w:val="0"/>
          <w:sz w:val="21"/>
        </w:rPr>
        <w:t xml:space="preserve">[20] S. M. Mahmud, "High precision phase measurement using adaptive sampling," </w:t>
      </w:r>
      <w:r>
        <w:rPr>
          <w:rFonts w:ascii="Times New Roman" w:hAnsi="Times New Roman" w:eastAsia="宋体"/>
          <w:b w:val="0"/>
          <w:i/>
          <w:sz w:val="21"/>
        </w:rPr>
        <w:t>IEEE Trans. Instrum. Meas.</w:t>
      </w:r>
      <w:r>
        <w:rPr>
          <w:rFonts w:ascii="Times New Roman" w:hAnsi="Times New Roman" w:eastAsia="宋体"/>
          <w:b w:val="0"/>
          <w:i w:val="0"/>
          <w:sz w:val="21"/>
        </w:rPr>
        <w:t>, vol. 38, no. 5, pp. 954–960, 1989, doi: 10.1109/19.39036.</w:t>
      </w:r>
    </w:p>
    <w:p>
      <w:pPr>
        <w:spacing w:before="0" w:after="120"/>
      </w:pPr>
      <w:r>
        <w:rPr>
          <w:rFonts w:ascii="Times New Roman" w:hAnsi="Times New Roman" w:eastAsia="宋体"/>
          <w:b w:val="0"/>
          <w:i w:val="0"/>
          <w:sz w:val="21"/>
        </w:rPr>
        <w:t xml:space="preserve">[21] R. Jaskulke and B. Himmel, "Event-controlled sampling system for marine research," </w:t>
      </w:r>
      <w:r>
        <w:rPr>
          <w:rFonts w:ascii="Times New Roman" w:hAnsi="Times New Roman" w:eastAsia="宋体"/>
          <w:b w:val="0"/>
          <w:i/>
          <w:sz w:val="21"/>
        </w:rPr>
        <w:t>IEEE Trans. Instrum. Meas.</w:t>
      </w:r>
      <w:r>
        <w:rPr>
          <w:rFonts w:ascii="Times New Roman" w:hAnsi="Times New Roman" w:eastAsia="宋体"/>
          <w:b w:val="0"/>
          <w:i w:val="0"/>
          <w:sz w:val="21"/>
        </w:rPr>
        <w:t>, vol. 54, no. 4, pp. 1175–1179, 2005, doi: 10.1109/TIM.2005.847142.</w:t>
      </w:r>
    </w:p>
    <w:p>
      <w:pPr>
        <w:spacing w:before="0" w:after="120"/>
      </w:pPr>
      <w:r>
        <w:rPr>
          <w:rFonts w:ascii="Times New Roman" w:hAnsi="Times New Roman" w:eastAsia="宋体"/>
          <w:b w:val="0"/>
          <w:i w:val="0"/>
          <w:sz w:val="21"/>
        </w:rPr>
        <w:t xml:space="preserve">[22] J. Davis and M. Goadrich, "The relationship between precision-recall and ROC curves," in </w:t>
      </w:r>
      <w:r>
        <w:rPr>
          <w:rFonts w:ascii="Times New Roman" w:hAnsi="Times New Roman" w:eastAsia="宋体"/>
          <w:b w:val="0"/>
          <w:i/>
          <w:sz w:val="21"/>
        </w:rPr>
        <w:t>Proc. ICML</w:t>
      </w:r>
      <w:r>
        <w:rPr>
          <w:rFonts w:ascii="Times New Roman" w:hAnsi="Times New Roman" w:eastAsia="宋体"/>
          <w:b w:val="0"/>
          <w:i w:val="0"/>
          <w:sz w:val="21"/>
        </w:rPr>
        <w:t>, 2006, pp. 233–240, doi: 10.1145/1143844.1143874.</w:t>
      </w:r>
    </w:p>
    <w:p>
      <w:pPr>
        <w:spacing w:before="0" w:after="120"/>
      </w:pPr>
      <w:r>
        <w:rPr>
          <w:rFonts w:ascii="Times New Roman" w:hAnsi="Times New Roman" w:eastAsia="宋体"/>
          <w:b w:val="0"/>
          <w:i w:val="0"/>
          <w:sz w:val="21"/>
        </w:rPr>
        <w:t xml:space="preserve">[23] S. Kaufman, S. Rosset, C. Perlich, and O. Stitelman, "Leakage in data mining: Formulation, detection, and avoidance," </w:t>
      </w:r>
      <w:r>
        <w:rPr>
          <w:rFonts w:ascii="Times New Roman" w:hAnsi="Times New Roman" w:eastAsia="宋体"/>
          <w:b w:val="0"/>
          <w:i/>
          <w:sz w:val="21"/>
        </w:rPr>
        <w:t>ACM Trans. Knowl. Discov. Data</w:t>
      </w:r>
      <w:r>
        <w:rPr>
          <w:rFonts w:ascii="Times New Roman" w:hAnsi="Times New Roman" w:eastAsia="宋体"/>
          <w:b w:val="0"/>
          <w:i w:val="0"/>
          <w:sz w:val="21"/>
        </w:rPr>
        <w:t>, vol. 6, no. 4, Art. no. 15, 2012, doi: 10.1145/2382577.2382579.</w:t>
      </w:r>
    </w:p>
    <w:p>
      <w:pPr>
        <w:spacing w:before="0" w:after="120"/>
      </w:pPr>
      <w:r>
        <w:rPr>
          <w:rFonts w:ascii="Times New Roman" w:hAnsi="Times New Roman" w:eastAsia="宋体"/>
          <w:b w:val="0"/>
          <w:i w:val="0"/>
          <w:sz w:val="21"/>
        </w:rPr>
        <w:t xml:space="preserve">[24] S. Kapoor and A. Narayanan, "Leakage and the reproducibility crisis in machine-learning-based science," </w:t>
      </w:r>
      <w:r>
        <w:rPr>
          <w:rFonts w:ascii="Times New Roman" w:hAnsi="Times New Roman" w:eastAsia="宋体"/>
          <w:b w:val="0"/>
          <w:i/>
          <w:sz w:val="21"/>
        </w:rPr>
        <w:t>Patterns</w:t>
      </w:r>
      <w:r>
        <w:rPr>
          <w:rFonts w:ascii="Times New Roman" w:hAnsi="Times New Roman" w:eastAsia="宋体"/>
          <w:b w:val="0"/>
          <w:i w:val="0"/>
          <w:sz w:val="21"/>
        </w:rPr>
        <w:t>, vol. 4, no. 9, p. 100804, 2023, doi: 10.1016/j.patter.2023.100804.</w:t>
      </w:r>
    </w:p>
    <w:p>
      <w:pPr>
        <w:spacing w:before="0" w:after="120"/>
      </w:pPr>
      <w:r>
        <w:rPr>
          <w:rFonts w:ascii="Times New Roman" w:hAnsi="Times New Roman" w:eastAsia="宋体"/>
          <w:b w:val="0"/>
          <w:i w:val="0"/>
          <w:sz w:val="21"/>
        </w:rPr>
        <w:t xml:space="preserve">[25] K. He, X. Zhang, S. Ren, and J. Sun, "Deep residual learning for image recognition," in </w:t>
      </w:r>
      <w:r>
        <w:rPr>
          <w:rFonts w:ascii="Times New Roman" w:hAnsi="Times New Roman" w:eastAsia="宋体"/>
          <w:b w:val="0"/>
          <w:i/>
          <w:sz w:val="21"/>
        </w:rPr>
        <w:t>Proc. CVPR</w:t>
      </w:r>
      <w:r>
        <w:rPr>
          <w:rFonts w:ascii="Times New Roman" w:hAnsi="Times New Roman" w:eastAsia="宋体"/>
          <w:b w:val="0"/>
          <w:i w:val="0"/>
          <w:sz w:val="21"/>
        </w:rPr>
        <w:t>, 2016, pp. 770–778, doi: 10.1109/CVPR.2016.90.</w:t>
      </w:r>
    </w:p>
    <w:p>
      <w:pPr>
        <w:spacing w:before="0" w:after="120"/>
      </w:pPr>
      <w:r>
        <w:rPr>
          <w:rFonts w:ascii="Times New Roman" w:hAnsi="Times New Roman" w:eastAsia="宋体"/>
          <w:b w:val="0"/>
          <w:i w:val="0"/>
          <w:sz w:val="21"/>
        </w:rPr>
        <w:t xml:space="preserve">[26] H. Ismail Fawaz, G. Forestier, J. Weber, L. Idoumghar, and P.-A. Muller, "Deep learning for time series classification: A review," </w:t>
      </w:r>
      <w:r>
        <w:rPr>
          <w:rFonts w:ascii="Times New Roman" w:hAnsi="Times New Roman" w:eastAsia="宋体"/>
          <w:b w:val="0"/>
          <w:i/>
          <w:sz w:val="21"/>
        </w:rPr>
        <w:t>Data Min. Knowl. Discov.</w:t>
      </w:r>
      <w:r>
        <w:rPr>
          <w:rFonts w:ascii="Times New Roman" w:hAnsi="Times New Roman" w:eastAsia="宋体"/>
          <w:b w:val="0"/>
          <w:i w:val="0"/>
          <w:sz w:val="21"/>
        </w:rPr>
        <w:t>, vol. 33, no. 4, pp. 917–963, 2019, doi: 10.1007/s10618-019-00619-1.</w:t>
      </w:r>
    </w:p>
    <w:p>
      <w:pPr>
        <w:spacing w:before="0" w:after="120"/>
      </w:pPr>
      <w:r>
        <w:rPr>
          <w:rFonts w:ascii="Times New Roman" w:hAnsi="Times New Roman" w:eastAsia="宋体"/>
          <w:b w:val="0"/>
          <w:i w:val="0"/>
          <w:sz w:val="21"/>
        </w:rPr>
        <w:t xml:space="preserve">[27] Z. Wang, W. Yan, and T. Oates, "Time series classification from scratch with deep neural networks: A strong baseline," in </w:t>
      </w:r>
      <w:r>
        <w:rPr>
          <w:rFonts w:ascii="Times New Roman" w:hAnsi="Times New Roman" w:eastAsia="宋体"/>
          <w:b w:val="0"/>
          <w:i/>
          <w:sz w:val="21"/>
        </w:rPr>
        <w:t>Proc. IJCNN</w:t>
      </w:r>
      <w:r>
        <w:rPr>
          <w:rFonts w:ascii="Times New Roman" w:hAnsi="Times New Roman" w:eastAsia="宋体"/>
          <w:b w:val="0"/>
          <w:i w:val="0"/>
          <w:sz w:val="21"/>
        </w:rPr>
        <w:t>, 2017, pp. 1578–1585, doi: 10.1109/IJCNN.2017.7966039.</w:t>
      </w:r>
    </w:p>
    <w:p>
      <w:pPr>
        <w:spacing w:before="0" w:after="120"/>
      </w:pPr>
      <w:r>
        <w:rPr>
          <w:rFonts w:ascii="Times New Roman" w:hAnsi="Times New Roman" w:eastAsia="宋体"/>
          <w:b w:val="0"/>
          <w:i w:val="0"/>
          <w:sz w:val="21"/>
        </w:rPr>
        <w:t xml:space="preserve">[28] H. Ismail Fawaz et al., "InceptionTime: Finding AlexNet for time series classification," </w:t>
      </w:r>
      <w:r>
        <w:rPr>
          <w:rFonts w:ascii="Times New Roman" w:hAnsi="Times New Roman" w:eastAsia="宋体"/>
          <w:b w:val="0"/>
          <w:i/>
          <w:sz w:val="21"/>
        </w:rPr>
        <w:t>Data Min. Knowl. Discov.</w:t>
      </w:r>
      <w:r>
        <w:rPr>
          <w:rFonts w:ascii="Times New Roman" w:hAnsi="Times New Roman" w:eastAsia="宋体"/>
          <w:b w:val="0"/>
          <w:i w:val="0"/>
          <w:sz w:val="21"/>
        </w:rPr>
        <w:t>, vol. 34, no. 6, pp. 1936–1962, 2020, doi: 10.1007/s10618-020-00710-y.</w:t>
      </w:r>
    </w:p>
    <w:p>
      <w:pPr>
        <w:spacing w:before="0" w:after="120"/>
      </w:pPr>
      <w:r>
        <w:rPr>
          <w:rFonts w:ascii="Times New Roman" w:hAnsi="Times New Roman" w:eastAsia="宋体"/>
          <w:b w:val="0"/>
          <w:i w:val="0"/>
          <w:sz w:val="21"/>
        </w:rPr>
        <w:t>[29] S. Bai, J. Z. Kolter, and V. Koltun, "An empirical evaluation of generic convolutional and recurrent networks for sequence modeling," arXiv:1803.01271, 2018.</w:t>
      </w:r>
    </w:p>
    <w:p>
      <w:pPr>
        <w:spacing w:before="0" w:after="120"/>
      </w:pPr>
      <w:r>
        <w:rPr>
          <w:rFonts w:ascii="Times New Roman" w:hAnsi="Times New Roman" w:eastAsia="宋体"/>
          <w:b w:val="0"/>
          <w:i w:val="0"/>
          <w:sz w:val="21"/>
        </w:rPr>
        <w:t xml:space="preserve">[30] A. Paszke et al., "PyTorch: An imperative style, high-performance deep learning library," in </w:t>
      </w:r>
      <w:r>
        <w:rPr>
          <w:rFonts w:ascii="Times New Roman" w:hAnsi="Times New Roman" w:eastAsia="宋体"/>
          <w:b w:val="0"/>
          <w:i/>
          <w:sz w:val="21"/>
        </w:rPr>
        <w:t>Proc. NeurIPS</w:t>
      </w:r>
      <w:r>
        <w:rPr>
          <w:rFonts w:ascii="Times New Roman" w:hAnsi="Times New Roman" w:eastAsia="宋体"/>
          <w:b w:val="0"/>
          <w:i w:val="0"/>
          <w:sz w:val="21"/>
        </w:rPr>
        <w:t>, 2019, pp. 8024–8035.</w:t>
      </w:r>
    </w:p>
    <w:p>
      <w:pPr>
        <w:spacing w:before="0" w:after="120"/>
      </w:pPr>
      <w:r>
        <w:rPr>
          <w:rFonts w:ascii="Times New Roman" w:hAnsi="Times New Roman" w:eastAsia="宋体"/>
          <w:b w:val="0"/>
          <w:i w:val="0"/>
          <w:sz w:val="21"/>
        </w:rPr>
        <w:t xml:space="preserve">[31] F. Pedregosa et al., "Scikit-learn: Machine learning in Python," </w:t>
      </w:r>
      <w:r>
        <w:rPr>
          <w:rFonts w:ascii="Times New Roman" w:hAnsi="Times New Roman" w:eastAsia="宋体"/>
          <w:b w:val="0"/>
          <w:i/>
          <w:sz w:val="21"/>
        </w:rPr>
        <w:t>J. Mach. Learn. Res.</w:t>
      </w:r>
      <w:r>
        <w:rPr>
          <w:rFonts w:ascii="Times New Roman" w:hAnsi="Times New Roman" w:eastAsia="宋体"/>
          <w:b w:val="0"/>
          <w:i w:val="0"/>
          <w:sz w:val="21"/>
        </w:rPr>
        <w:t>, vol. 12, pp. 2825–2830, 2011.</w:t>
      </w:r>
    </w:p>
    <w:p>
      <w:pPr>
        <w:spacing w:before="0" w:after="120"/>
      </w:pPr>
      <w:r>
        <w:rPr>
          <w:rFonts w:ascii="Times New Roman" w:hAnsi="Times New Roman" w:eastAsia="宋体"/>
          <w:b w:val="0"/>
          <w:i w:val="0"/>
          <w:sz w:val="21"/>
        </w:rPr>
        <w:t xml:space="preserve">[32] W. McKinney, "Data structures for statistical computing in Python," in </w:t>
      </w:r>
      <w:r>
        <w:rPr>
          <w:rFonts w:ascii="Times New Roman" w:hAnsi="Times New Roman" w:eastAsia="宋体"/>
          <w:b w:val="0"/>
          <w:i/>
          <w:sz w:val="21"/>
        </w:rPr>
        <w:t>Proc. SciPy</w:t>
      </w:r>
      <w:r>
        <w:rPr>
          <w:rFonts w:ascii="Times New Roman" w:hAnsi="Times New Roman" w:eastAsia="宋体"/>
          <w:b w:val="0"/>
          <w:i w:val="0"/>
          <w:sz w:val="21"/>
        </w:rPr>
        <w:t>, 2010, pp. 56–61, doi: 10.25080/Majora-92bf1922-00a.</w:t>
      </w:r>
    </w:p>
    <w:p>
      <w:pPr>
        <w:spacing w:before="0" w:after="120"/>
      </w:pPr>
      <w:r>
        <w:rPr>
          <w:rFonts w:ascii="Times New Roman" w:hAnsi="Times New Roman" w:eastAsia="宋体"/>
          <w:b w:val="0"/>
          <w:i w:val="0"/>
          <w:sz w:val="21"/>
        </w:rPr>
        <w:t xml:space="preserve">[33] J. D. Hunter, "Matplotlib: A 2D graphics environment," </w:t>
      </w:r>
      <w:r>
        <w:rPr>
          <w:rFonts w:ascii="Times New Roman" w:hAnsi="Times New Roman" w:eastAsia="宋体"/>
          <w:b w:val="0"/>
          <w:i/>
          <w:sz w:val="21"/>
        </w:rPr>
        <w:t>Comput. Sci. Eng.</w:t>
      </w:r>
      <w:r>
        <w:rPr>
          <w:rFonts w:ascii="Times New Roman" w:hAnsi="Times New Roman" w:eastAsia="宋体"/>
          <w:b w:val="0"/>
          <w:i w:val="0"/>
          <w:sz w:val="21"/>
        </w:rPr>
        <w:t>, vol. 9, no. 3, pp. 90–95, 2007, doi: 10.1109/MCSE.2007.55.</w:t>
      </w:r>
    </w:p>
    <w:p>
      <w:pPr>
        <w:spacing w:before="0" w:after="120"/>
      </w:pPr>
      <w:r>
        <w:rPr>
          <w:rFonts w:ascii="Times New Roman" w:hAnsi="Times New Roman" w:eastAsia="宋体"/>
          <w:b w:val="0"/>
          <w:i w:val="0"/>
          <w:sz w:val="21"/>
        </w:rPr>
        <w:t xml:space="preserve">[34] C. R. Harris et al., "Array programming with NumPy," </w:t>
      </w:r>
      <w:r>
        <w:rPr>
          <w:rFonts w:ascii="Times New Roman" w:hAnsi="Times New Roman" w:eastAsia="宋体"/>
          <w:b w:val="0"/>
          <w:i/>
          <w:sz w:val="21"/>
        </w:rPr>
        <w:t>Nature</w:t>
      </w:r>
      <w:r>
        <w:rPr>
          <w:rFonts w:ascii="Times New Roman" w:hAnsi="Times New Roman" w:eastAsia="宋体"/>
          <w:b w:val="0"/>
          <w:i w:val="0"/>
          <w:sz w:val="21"/>
        </w:rPr>
        <w:t>, vol. 585, pp. 357–362, 2020, doi: 10.1038/s41586-020-2649-2.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