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0B2545"/>
          <w:sz w:val="48"/>
        </w:rPr>
        <w:t>OperaHouse Step 2 Plan</w:t>
      </w:r>
    </w:p>
    <w:p>
      <w:pPr>
        <w:spacing w:after="240"/>
      </w:pPr>
      <w:r>
        <w:rPr>
          <w:rFonts w:ascii="Calibri" w:hAnsi="Calibri"/>
          <w:color w:val="5A5A5A"/>
          <w:sz w:val="24"/>
        </w:rPr>
        <w:t>RabbitMQ publishing design before implementation</w:t>
      </w:r>
    </w:p>
    <w:tbl>
      <w:tblPr>
        <w:tblW w:type="auto" w:w="0"/>
        <w:jc w:val="center"/>
        <w:tblLook w:firstColumn="1" w:firstRow="1" w:lastColumn="0" w:lastRow="0" w:noHBand="0" w:noVBand="1" w:val="04A0"/>
      </w:tblPr>
      <w:tblGrid>
        <w:gridCol w:w="9144"/>
      </w:tblGrid>
      <w:tr>
        <w:tc>
          <w:tcPr>
            <w:tcW w:type="dxa" w:w="9360"/>
            <w:shd w:fill="F4F6F9"/>
            <w:tcBorders>
              <w:top w:val="single" w:sz="6" w:space="0" w:color="CCD6E0"/>
              <w:left w:val="single" w:sz="6" w:space="0" w:color="CCD6E0"/>
              <w:bottom w:val="single" w:sz="6" w:space="0" w:color="CCD6E0"/>
              <w:right w:val="single" w:sz="6" w:space="0" w:color="CCD6E0"/>
            </w:tcBorders>
          </w:tcPr>
          <w:p>
            <w:pPr>
              <w:spacing w:after="60"/>
            </w:pPr>
            <w:r>
              <w:rPr>
                <w:rFonts w:ascii="Calibri" w:hAnsi="Calibri"/>
                <w:b/>
                <w:color w:val="1F4D78"/>
                <w:sz w:val="21"/>
              </w:rPr>
              <w:t>Step 2 goal</w:t>
            </w:r>
          </w:p>
          <w:p>
            <w:pPr>
              <w:spacing w:after="40" w:line="276" w:lineRule="auto"/>
            </w:pPr>
            <w:r>
              <w:rPr>
                <w:rFonts w:ascii="Calibri" w:hAnsi="Calibri"/>
                <w:sz w:val="20"/>
              </w:rPr>
              <w:t>After a booking is saved as Pending, the Booking API publishes a durable BookingCreated event to RabbitMQ using bare RabbitMQ.Client. The worker consume side is shown for context, but should remain the next implementation step unless you choose to combine them.</w:t>
            </w:r>
          </w:p>
        </w:tc>
      </w:tr>
    </w:tbl>
    <w:p>
      <w:pPr>
        <w:spacing w:after="40"/>
      </w:pPr>
    </w:p>
    <w:p>
      <w:pPr>
        <w:pStyle w:val="Heading1"/>
      </w:pPr>
      <w:r>
        <w:rPr>
          <w:rFonts w:ascii="Calibri" w:hAnsi="Calibri"/>
          <w:color w:val="2E74B5"/>
          <w:sz w:val="32"/>
        </w:rPr>
        <w:t>1. What Step 2 adds</w:t>
      </w:r>
    </w:p>
    <w:p>
      <w:pPr>
        <w:spacing w:after="120" w:line="300" w:lineRule="auto"/>
      </w:pPr>
      <w:r>
        <w:rPr>
          <w:rFonts w:ascii="Calibri" w:hAnsi="Calibri"/>
          <w:sz w:val="22"/>
        </w:rPr>
        <w:t>Step 1 gave us the API, database persistence, performance seed data, Swagger, and a clean Booking service/repository slice. Step 2 introduces the first messaging behavior: publishing booking.created after a successful booking save.</w:t>
      </w:r>
    </w:p>
    <w:p>
      <w:pPr>
        <w:pStyle w:val="ListBullet"/>
        <w:spacing w:after="80" w:line="300" w:lineRule="auto"/>
        <w:ind w:left="540" w:hanging="271"/>
      </w:pPr>
      <w:r>
        <w:rPr>
          <w:rFonts w:ascii="Calibri" w:hAnsi="Calibri"/>
          <w:sz w:val="22"/>
        </w:rPr>
        <w:t>Define the BookingCreated integration event in OperaHouse.Contracts.</w:t>
      </w:r>
    </w:p>
    <w:p>
      <w:pPr>
        <w:pStyle w:val="ListBullet"/>
        <w:spacing w:after="80" w:line="300" w:lineRule="auto"/>
        <w:ind w:left="540" w:hanging="271"/>
      </w:pPr>
      <w:r>
        <w:rPr>
          <w:rFonts w:ascii="Calibri" w:hAnsi="Calibri"/>
          <w:sz w:val="22"/>
        </w:rPr>
        <w:t>Add simple RabbitMQ configuration to the API: host, port, username, password, exchange name, and routing key.</w:t>
      </w:r>
    </w:p>
    <w:p>
      <w:pPr>
        <w:pStyle w:val="ListBullet"/>
        <w:spacing w:after="80" w:line="300" w:lineRule="auto"/>
        <w:ind w:left="540" w:hanging="271"/>
      </w:pPr>
      <w:r>
        <w:rPr>
          <w:rFonts w:ascii="Calibri" w:hAnsi="Calibri"/>
          <w:sz w:val="22"/>
        </w:rPr>
        <w:t>Add RabbitMQ.Client 7.x to OperaHouse.Messaging and create a readable publisher wrapper.</w:t>
      </w:r>
    </w:p>
    <w:p>
      <w:pPr>
        <w:pStyle w:val="ListBullet"/>
        <w:spacing w:after="80" w:line="300" w:lineRule="auto"/>
        <w:ind w:left="540" w:hanging="271"/>
      </w:pPr>
      <w:r>
        <w:rPr>
          <w:rFonts w:ascii="Calibri" w:hAnsi="Calibri"/>
          <w:sz w:val="22"/>
        </w:rPr>
        <w:t>Add one small application port named IBookingEventPublisher so Application does not reference RabbitMQ.Client directly.</w:t>
      </w:r>
    </w:p>
    <w:p>
      <w:pPr>
        <w:pStyle w:val="ListBullet"/>
        <w:spacing w:after="80" w:line="300" w:lineRule="auto"/>
        <w:ind w:left="540" w:hanging="271"/>
      </w:pPr>
      <w:r>
        <w:rPr>
          <w:rFonts w:ascii="Calibri" w:hAnsi="Calibri"/>
          <w:sz w:val="22"/>
        </w:rPr>
        <w:t>Implement that port in Infrastructure, translating a saved Booking into a BookingCreated event.</w:t>
      </w:r>
    </w:p>
    <w:p>
      <w:pPr>
        <w:pStyle w:val="ListBullet"/>
        <w:spacing w:after="80" w:line="300" w:lineRule="auto"/>
        <w:ind w:left="540" w:hanging="271"/>
      </w:pPr>
      <w:r>
        <w:rPr>
          <w:rFonts w:ascii="Calibri" w:hAnsi="Calibri"/>
          <w:sz w:val="22"/>
        </w:rPr>
        <w:t>Publish after the database save succeeds, then return the booking response as before.</w:t>
      </w:r>
    </w:p>
    <w:p>
      <w:pPr>
        <w:pStyle w:val="Heading1"/>
      </w:pPr>
      <w:r>
        <w:rPr>
          <w:rFonts w:ascii="Calibri" w:hAnsi="Calibri"/>
          <w:color w:val="2E74B5"/>
          <w:sz w:val="32"/>
        </w:rPr>
        <w:t>2. Design principles for this step</w:t>
      </w:r>
    </w:p>
    <w:tbl>
      <w:tblPr>
        <w:tblStyle w:val="TableGrid"/>
        <w:tblW w:type="auto" w:w="0"/>
        <w:jc w:val="center"/>
        <w:tblLook w:firstColumn="1" w:firstRow="1" w:lastColumn="0" w:lastRow="0" w:noHBand="0" w:noVBand="1" w:val="04A0"/>
      </w:tblPr>
      <w:tblGrid>
        <w:gridCol w:w="4680"/>
        <w:gridCol w:w="4680"/>
      </w:tblGrid>
      <w:tr>
        <w:tc>
          <w:tcPr>
            <w:tcW w:type="dxa" w:w="2736"/>
            <w:vAlign w:val="center"/>
            <w:tcBorders>
              <w:top w:val="single" w:sz="6" w:space="0" w:color="D9E2EC"/>
              <w:left w:val="single" w:sz="6" w:space="0" w:color="D9E2EC"/>
              <w:bottom w:val="single" w:sz="6" w:space="0" w:color="D9E2EC"/>
              <w:right w:val="single" w:sz="6" w:space="0" w:color="D9E2EC"/>
            </w:tcBorders>
            <w:shd w:fill="E8EEF5"/>
          </w:tcPr>
          <w:p>
            <w:pPr>
              <w:spacing w:after="60" w:line="276" w:lineRule="auto"/>
            </w:pPr>
            <w:r>
              <w:rPr>
                <w:b/>
                <w:color w:val="1F4D78"/>
                <w:sz w:val="19"/>
              </w:rPr>
              <w:t>Principle</w:t>
            </w:r>
          </w:p>
        </w:tc>
        <w:tc>
          <w:tcPr>
            <w:tcW w:type="dxa" w:w="6408"/>
            <w:vAlign w:val="center"/>
            <w:tcBorders>
              <w:top w:val="single" w:sz="6" w:space="0" w:color="D9E2EC"/>
              <w:left w:val="single" w:sz="6" w:space="0" w:color="D9E2EC"/>
              <w:bottom w:val="single" w:sz="6" w:space="0" w:color="D9E2EC"/>
              <w:right w:val="single" w:sz="6" w:space="0" w:color="D9E2EC"/>
            </w:tcBorders>
            <w:shd w:fill="E8EEF5"/>
          </w:tcPr>
          <w:p>
            <w:pPr>
              <w:spacing w:after="60" w:line="276" w:lineRule="auto"/>
            </w:pPr>
            <w:r>
              <w:rPr>
                <w:b/>
                <w:color w:val="1F4D78"/>
                <w:sz w:val="19"/>
              </w:rPr>
              <w:t>Meaning in code</w:t>
            </w:r>
          </w:p>
        </w:tc>
      </w:tr>
      <w:tr>
        <w:tc>
          <w:tcPr>
            <w:tcW w:type="dxa" w:w="2736"/>
            <w:vAlign w:val="center"/>
            <w:tcBorders>
              <w:top w:val="single" w:sz="6" w:space="0" w:color="D9E2EC"/>
              <w:left w:val="single" w:sz="6" w:space="0" w:color="D9E2EC"/>
              <w:bottom w:val="single" w:sz="6" w:space="0" w:color="D9E2EC"/>
              <w:right w:val="single" w:sz="6" w:space="0" w:color="D9E2EC"/>
            </w:tcBorders>
          </w:tcPr>
          <w:p>
            <w:pPr>
              <w:spacing w:after="60" w:line="276" w:lineRule="auto"/>
            </w:pPr>
            <w:r>
              <w:rPr>
                <w:sz w:val="19"/>
              </w:rPr>
              <w:t>Keep RabbitMQ visible</w:t>
            </w:r>
          </w:p>
        </w:tc>
        <w:tc>
          <w:tcPr>
            <w:tcW w:type="dxa" w:w="6408"/>
            <w:vAlign w:val="center"/>
            <w:tcBorders>
              <w:top w:val="single" w:sz="6" w:space="0" w:color="D9E2EC"/>
              <w:left w:val="single" w:sz="6" w:space="0" w:color="D9E2EC"/>
              <w:bottom w:val="single" w:sz="6" w:space="0" w:color="D9E2EC"/>
              <w:right w:val="single" w:sz="6" w:space="0" w:color="D9E2EC"/>
            </w:tcBorders>
          </w:tcPr>
          <w:p>
            <w:pPr>
              <w:spacing w:after="60" w:line="276" w:lineRule="auto"/>
            </w:pPr>
            <w:r>
              <w:rPr>
                <w:sz w:val="19"/>
              </w:rPr>
              <w:t>The wrapper should not hide the learning concepts. Exchange, routing key, durable declaration, persistent message, publish, and connection/channel should be obvious in the code.</w:t>
            </w:r>
          </w:p>
        </w:tc>
      </w:tr>
      <w:tr>
        <w:tc>
          <w:tcPr>
            <w:tcW w:type="dxa" w:w="2736"/>
            <w:vAlign w:val="center"/>
            <w:tcBorders>
              <w:top w:val="single" w:sz="6" w:space="0" w:color="D9E2EC"/>
              <w:left w:val="single" w:sz="6" w:space="0" w:color="D9E2EC"/>
              <w:bottom w:val="single" w:sz="6" w:space="0" w:color="D9E2EC"/>
              <w:right w:val="single" w:sz="6" w:space="0" w:color="D9E2EC"/>
            </w:tcBorders>
          </w:tcPr>
          <w:p>
            <w:pPr>
              <w:spacing w:after="60" w:line="276" w:lineRule="auto"/>
            </w:pPr>
            <w:r>
              <w:rPr>
                <w:sz w:val="19"/>
              </w:rPr>
              <w:t>Keep the Application clean</w:t>
            </w:r>
          </w:p>
        </w:tc>
        <w:tc>
          <w:tcPr>
            <w:tcW w:type="dxa" w:w="6408"/>
            <w:vAlign w:val="center"/>
            <w:tcBorders>
              <w:top w:val="single" w:sz="6" w:space="0" w:color="D9E2EC"/>
              <w:left w:val="single" w:sz="6" w:space="0" w:color="D9E2EC"/>
              <w:bottom w:val="single" w:sz="6" w:space="0" w:color="D9E2EC"/>
              <w:right w:val="single" w:sz="6" w:space="0" w:color="D9E2EC"/>
            </w:tcBorders>
          </w:tcPr>
          <w:p>
            <w:pPr>
              <w:spacing w:after="60" w:line="276" w:lineRule="auto"/>
            </w:pPr>
            <w:r>
              <w:rPr>
                <w:sz w:val="19"/>
              </w:rPr>
              <w:t>BookingService should express the business flow, not RabbitMQ.Client mechanics. One clear port is enough; no mediator, no bus abstraction framework, no MassTransit.</w:t>
            </w:r>
          </w:p>
        </w:tc>
      </w:tr>
      <w:tr>
        <w:tc>
          <w:tcPr>
            <w:tcW w:type="dxa" w:w="2736"/>
            <w:vAlign w:val="center"/>
            <w:tcBorders>
              <w:top w:val="single" w:sz="6" w:space="0" w:color="D9E2EC"/>
              <w:left w:val="single" w:sz="6" w:space="0" w:color="D9E2EC"/>
              <w:bottom w:val="single" w:sz="6" w:space="0" w:color="D9E2EC"/>
              <w:right w:val="single" w:sz="6" w:space="0" w:color="D9E2EC"/>
            </w:tcBorders>
          </w:tcPr>
          <w:p>
            <w:pPr>
              <w:spacing w:after="60" w:line="276" w:lineRule="auto"/>
            </w:pPr>
            <w:r>
              <w:rPr>
                <w:sz w:val="19"/>
              </w:rPr>
              <w:t>Do not solve future reliability yet</w:t>
            </w:r>
          </w:p>
        </w:tc>
        <w:tc>
          <w:tcPr>
            <w:tcW w:type="dxa" w:w="6408"/>
            <w:vAlign w:val="center"/>
            <w:tcBorders>
              <w:top w:val="single" w:sz="6" w:space="0" w:color="D9E2EC"/>
              <w:left w:val="single" w:sz="6" w:space="0" w:color="D9E2EC"/>
              <w:bottom w:val="single" w:sz="6" w:space="0" w:color="D9E2EC"/>
              <w:right w:val="single" w:sz="6" w:space="0" w:color="D9E2EC"/>
            </w:tcBorders>
          </w:tcPr>
          <w:p>
            <w:pPr>
              <w:spacing w:after="60" w:line="276" w:lineRule="auto"/>
            </w:pPr>
            <w:r>
              <w:rPr>
                <w:sz w:val="19"/>
              </w:rPr>
              <w:t>Publishing after DB save can fail. That is a real distributed-systems problem, but the outbox pattern belongs in a later phase after the basic RabbitMQ mechanics are understood.</w:t>
            </w:r>
          </w:p>
        </w:tc>
      </w:tr>
      <w:tr>
        <w:tc>
          <w:tcPr>
            <w:tcW w:type="dxa" w:w="2736"/>
            <w:vAlign w:val="center"/>
            <w:tcBorders>
              <w:top w:val="single" w:sz="6" w:space="0" w:color="D9E2EC"/>
              <w:left w:val="single" w:sz="6" w:space="0" w:color="D9E2EC"/>
              <w:bottom w:val="single" w:sz="6" w:space="0" w:color="D9E2EC"/>
              <w:right w:val="single" w:sz="6" w:space="0" w:color="D9E2EC"/>
            </w:tcBorders>
          </w:tcPr>
          <w:p>
            <w:pPr>
              <w:spacing w:after="60" w:line="276" w:lineRule="auto"/>
            </w:pPr>
            <w:r>
              <w:rPr>
                <w:sz w:val="19"/>
              </w:rPr>
              <w:t>Producer and consumer responsibilities stay separate</w:t>
            </w:r>
          </w:p>
        </w:tc>
        <w:tc>
          <w:tcPr>
            <w:tcW w:type="dxa" w:w="6408"/>
            <w:vAlign w:val="center"/>
            <w:tcBorders>
              <w:top w:val="single" w:sz="6" w:space="0" w:color="D9E2EC"/>
              <w:left w:val="single" w:sz="6" w:space="0" w:color="D9E2EC"/>
              <w:bottom w:val="single" w:sz="6" w:space="0" w:color="D9E2EC"/>
              <w:right w:val="single" w:sz="6" w:space="0" w:color="D9E2EC"/>
            </w:tcBorders>
          </w:tcPr>
          <w:p>
            <w:pPr>
              <w:spacing w:after="60" w:line="276" w:lineRule="auto"/>
            </w:pPr>
            <w:r>
              <w:rPr>
                <w:sz w:val="19"/>
              </w:rPr>
              <w:t>The producer should know the exchange and routing key. The consumer will own the queue and binding in the next step. This keeps coupling low.</w:t>
            </w:r>
          </w:p>
        </w:tc>
      </w:tr>
    </w:tbl>
    <w:p>
      <w:pPr>
        <w:pStyle w:val="Heading1"/>
      </w:pPr>
      <w:r>
        <w:rPr>
          <w:rFonts w:ascii="Calibri" w:hAnsi="Calibri"/>
          <w:color w:val="2E74B5"/>
          <w:sz w:val="32"/>
        </w:rPr>
        <w:t>3. Architecture picture</w:t>
      </w:r>
    </w:p>
    <w:p>
      <w:pPr>
        <w:spacing w:after="120" w:line="300" w:lineRule="auto"/>
      </w:pPr>
      <w:r>
        <w:rPr>
          <w:rFonts w:ascii="Calibri" w:hAnsi="Calibri"/>
          <w:sz w:val="22"/>
        </w:rPr>
        <w:t>The important separation is that Booking.Application depends on a small publishing port, while Infrastructure and Messaging contain the RabbitMQ details.</w:t>
      </w:r>
    </w:p>
    <w:p>
      <w:r>
        <w:drawing>
          <wp:inline xmlns:a="http://schemas.openxmlformats.org/drawingml/2006/main" xmlns:pic="http://schemas.openxmlformats.org/drawingml/2006/picture">
            <wp:extent cx="5897880" cy="2988259"/>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897880" cy="2988259"/>
                    </a:xfrm>
                    <a:prstGeom prst="rect"/>
                  </pic:spPr>
                </pic:pic>
              </a:graphicData>
            </a:graphic>
          </wp:inline>
        </w:drawing>
      </w:r>
    </w:p>
    <w:p>
      <w:pPr>
        <w:pStyle w:val="Heading1"/>
      </w:pPr>
      <w:r>
        <w:rPr>
          <w:rFonts w:ascii="Calibri" w:hAnsi="Calibri"/>
          <w:color w:val="2E74B5"/>
          <w:sz w:val="32"/>
        </w:rPr>
        <w:t>4. Publish flow</w:t>
      </w:r>
    </w:p>
    <w:p>
      <w:pPr>
        <w:spacing w:after="120" w:line="300" w:lineRule="auto"/>
      </w:pPr>
      <w:r>
        <w:rPr>
          <w:rFonts w:ascii="Calibri" w:hAnsi="Calibri"/>
          <w:sz w:val="22"/>
        </w:rPr>
        <w:t>This is the exact runtime path after Swagger calls POST /bookings. The event is created only after the booking exists in Postgres.</w:t>
      </w:r>
    </w:p>
    <w:p>
      <w:r>
        <w:drawing>
          <wp:inline xmlns:a="http://schemas.openxmlformats.org/drawingml/2006/main" xmlns:pic="http://schemas.openxmlformats.org/drawingml/2006/picture">
            <wp:extent cx="5897880" cy="2830982"/>
            <wp:docPr id="2" name="Picture 2"/>
            <wp:cNvGraphicFramePr>
              <a:graphicFrameLocks noChangeAspect="1"/>
            </wp:cNvGraphicFramePr>
            <a:graphic>
              <a:graphicData uri="http://schemas.openxmlformats.org/drawingml/2006/picture">
                <pic:pic>
                  <pic:nvPicPr>
                    <pic:cNvPr id="0" name="publish-flow.png"/>
                    <pic:cNvPicPr/>
                  </pic:nvPicPr>
                  <pic:blipFill>
                    <a:blip r:embed="rId10"/>
                    <a:stretch>
                      <a:fillRect/>
                    </a:stretch>
                  </pic:blipFill>
                  <pic:spPr>
                    <a:xfrm>
                      <a:off x="0" y="0"/>
                      <a:ext cx="5897880" cy="2830982"/>
                    </a:xfrm>
                    <a:prstGeom prst="rect"/>
                  </pic:spPr>
                </pic:pic>
              </a:graphicData>
            </a:graphic>
          </wp:inline>
        </w:drawing>
      </w:r>
    </w:p>
    <w:p>
      <w:pPr>
        <w:pStyle w:val="Heading1"/>
      </w:pPr>
      <w:r>
        <w:rPr>
          <w:rFonts w:ascii="Calibri" w:hAnsi="Calibri"/>
          <w:color w:val="2E74B5"/>
          <w:sz w:val="32"/>
        </w:rPr>
        <w:t>5. RabbitMQ topology</w:t>
      </w:r>
    </w:p>
    <w:p>
      <w:pPr>
        <w:spacing w:after="120" w:line="300" w:lineRule="auto"/>
      </w:pPr>
      <w:r>
        <w:rPr>
          <w:rFonts w:ascii="Calibri" w:hAnsi="Calibri"/>
          <w:sz w:val="22"/>
        </w:rPr>
        <w:t>Phase 1 uses a durable topic exchange named operahouse.events. The routing key for this event is booking.created. The notification queue and binding are shown here because they complete the mental model, but the worker side can be implemented in the next step.</w:t>
      </w:r>
    </w:p>
    <w:p>
      <w:r>
        <w:drawing>
          <wp:inline xmlns:a="http://schemas.openxmlformats.org/drawingml/2006/main" xmlns:pic="http://schemas.openxmlformats.org/drawingml/2006/picture">
            <wp:extent cx="5897880" cy="2516429"/>
            <wp:docPr id="3" name="Picture 3"/>
            <wp:cNvGraphicFramePr>
              <a:graphicFrameLocks noChangeAspect="1"/>
            </wp:cNvGraphicFramePr>
            <a:graphic>
              <a:graphicData uri="http://schemas.openxmlformats.org/drawingml/2006/picture">
                <pic:pic>
                  <pic:nvPicPr>
                    <pic:cNvPr id="0" name="topology.png"/>
                    <pic:cNvPicPr/>
                  </pic:nvPicPr>
                  <pic:blipFill>
                    <a:blip r:embed="rId11"/>
                    <a:stretch>
                      <a:fillRect/>
                    </a:stretch>
                  </pic:blipFill>
                  <pic:spPr>
                    <a:xfrm>
                      <a:off x="0" y="0"/>
                      <a:ext cx="5897880" cy="2516429"/>
                    </a:xfrm>
                    <a:prstGeom prst="rect"/>
                  </pic:spPr>
                </pic:pic>
              </a:graphicData>
            </a:graphic>
          </wp:inline>
        </w:drawing>
      </w:r>
    </w:p>
    <w:p>
      <w:pPr>
        <w:pStyle w:val="Heading1"/>
      </w:pPr>
      <w:r>
        <w:rPr>
          <w:rFonts w:ascii="Calibri" w:hAnsi="Calibri"/>
          <w:color w:val="2E74B5"/>
          <w:sz w:val="32"/>
        </w:rPr>
        <w:t>6. Files to add or change</w:t>
      </w:r>
    </w:p>
    <w:tbl>
      <w:tblPr>
        <w:tblStyle w:val="TableGrid"/>
        <w:tblW w:type="auto" w:w="0"/>
        <w:jc w:val="center"/>
        <w:tblLook w:firstColumn="1" w:firstRow="1" w:lastColumn="0" w:lastRow="0" w:noHBand="0" w:noVBand="1" w:val="04A0"/>
      </w:tblPr>
      <w:tblGrid>
        <w:gridCol w:w="3120"/>
        <w:gridCol w:w="3120"/>
        <w:gridCol w:w="3120"/>
      </w:tblGrid>
      <w:tr>
        <w:tc>
          <w:tcPr>
            <w:tcW w:type="dxa" w:w="2232"/>
            <w:vAlign w:val="center"/>
            <w:tcBorders>
              <w:top w:val="single" w:sz="6" w:space="0" w:color="D9E2EC"/>
              <w:left w:val="single" w:sz="6" w:space="0" w:color="D9E2EC"/>
              <w:bottom w:val="single" w:sz="6" w:space="0" w:color="D9E2EC"/>
              <w:right w:val="single" w:sz="6" w:space="0" w:color="D9E2EC"/>
            </w:tcBorders>
            <w:shd w:fill="E8EEF5"/>
          </w:tcPr>
          <w:p>
            <w:pPr>
              <w:spacing w:after="60" w:line="276" w:lineRule="auto"/>
            </w:pPr>
            <w:r>
              <w:rPr>
                <w:b/>
                <w:color w:val="1F4D78"/>
                <w:sz w:val="19"/>
              </w:rPr>
              <w:t>Project</w:t>
            </w:r>
          </w:p>
        </w:tc>
        <w:tc>
          <w:tcPr>
            <w:tcW w:type="dxa" w:w="3096"/>
            <w:vAlign w:val="center"/>
            <w:tcBorders>
              <w:top w:val="single" w:sz="6" w:space="0" w:color="D9E2EC"/>
              <w:left w:val="single" w:sz="6" w:space="0" w:color="D9E2EC"/>
              <w:bottom w:val="single" w:sz="6" w:space="0" w:color="D9E2EC"/>
              <w:right w:val="single" w:sz="6" w:space="0" w:color="D9E2EC"/>
            </w:tcBorders>
            <w:shd w:fill="E8EEF5"/>
          </w:tcPr>
          <w:p>
            <w:pPr>
              <w:spacing w:after="60" w:line="276" w:lineRule="auto"/>
            </w:pPr>
            <w:r>
              <w:rPr>
                <w:b/>
                <w:color w:val="1F4D78"/>
                <w:sz w:val="19"/>
              </w:rPr>
              <w:t>Change</w:t>
            </w:r>
          </w:p>
        </w:tc>
        <w:tc>
          <w:tcPr>
            <w:tcW w:type="dxa" w:w="3816"/>
            <w:vAlign w:val="center"/>
            <w:tcBorders>
              <w:top w:val="single" w:sz="6" w:space="0" w:color="D9E2EC"/>
              <w:left w:val="single" w:sz="6" w:space="0" w:color="D9E2EC"/>
              <w:bottom w:val="single" w:sz="6" w:space="0" w:color="D9E2EC"/>
              <w:right w:val="single" w:sz="6" w:space="0" w:color="D9E2EC"/>
            </w:tcBorders>
            <w:shd w:fill="E8EEF5"/>
          </w:tcPr>
          <w:p>
            <w:pPr>
              <w:spacing w:after="60" w:line="276" w:lineRule="auto"/>
            </w:pPr>
            <w:r>
              <w:rPr>
                <w:b/>
                <w:color w:val="1F4D78"/>
                <w:sz w:val="19"/>
              </w:rPr>
              <w:t>Why it belongs there</w:t>
            </w:r>
          </w:p>
        </w:tc>
      </w:tr>
      <w:tr>
        <w:tc>
          <w:tcPr>
            <w:tcW w:type="dxa" w:w="2232"/>
            <w:vAlign w:val="center"/>
            <w:tcBorders>
              <w:top w:val="single" w:sz="6" w:space="0" w:color="D9E2EC"/>
              <w:left w:val="single" w:sz="6" w:space="0" w:color="D9E2EC"/>
              <w:bottom w:val="single" w:sz="6" w:space="0" w:color="D9E2EC"/>
              <w:right w:val="single" w:sz="6" w:space="0" w:color="D9E2EC"/>
            </w:tcBorders>
          </w:tcPr>
          <w:p>
            <w:pPr>
              <w:spacing w:after="60" w:line="276" w:lineRule="auto"/>
            </w:pPr>
            <w:r>
              <w:rPr>
                <w:sz w:val="19"/>
              </w:rPr>
              <w:t>OperaHouse.Contracts</w:t>
            </w:r>
          </w:p>
        </w:tc>
        <w:tc>
          <w:tcPr>
            <w:tcW w:type="dxa" w:w="3096"/>
            <w:vAlign w:val="center"/>
            <w:tcBorders>
              <w:top w:val="single" w:sz="6" w:space="0" w:color="D9E2EC"/>
              <w:left w:val="single" w:sz="6" w:space="0" w:color="D9E2EC"/>
              <w:bottom w:val="single" w:sz="6" w:space="0" w:color="D9E2EC"/>
              <w:right w:val="single" w:sz="6" w:space="0" w:color="D9E2EC"/>
            </w:tcBorders>
          </w:tcPr>
          <w:p>
            <w:pPr>
              <w:spacing w:after="60" w:line="276" w:lineRule="auto"/>
            </w:pPr>
            <w:r>
              <w:rPr>
                <w:sz w:val="19"/>
              </w:rPr>
              <w:t>Add BookingCreated event contract.</w:t>
            </w:r>
          </w:p>
        </w:tc>
        <w:tc>
          <w:tcPr>
            <w:tcW w:type="dxa" w:w="3816"/>
            <w:vAlign w:val="center"/>
            <w:tcBorders>
              <w:top w:val="single" w:sz="6" w:space="0" w:color="D9E2EC"/>
              <w:left w:val="single" w:sz="6" w:space="0" w:color="D9E2EC"/>
              <w:bottom w:val="single" w:sz="6" w:space="0" w:color="D9E2EC"/>
              <w:right w:val="single" w:sz="6" w:space="0" w:color="D9E2EC"/>
            </w:tcBorders>
          </w:tcPr>
          <w:p>
            <w:pPr>
              <w:spacing w:after="60" w:line="276" w:lineRule="auto"/>
            </w:pPr>
            <w:r>
              <w:rPr>
                <w:sz w:val="19"/>
              </w:rPr>
              <w:t>Shared message shape used by publisher and worker.</w:t>
            </w:r>
          </w:p>
        </w:tc>
      </w:tr>
      <w:tr>
        <w:tc>
          <w:tcPr>
            <w:tcW w:type="dxa" w:w="2232"/>
            <w:vAlign w:val="center"/>
            <w:tcBorders>
              <w:top w:val="single" w:sz="6" w:space="0" w:color="D9E2EC"/>
              <w:left w:val="single" w:sz="6" w:space="0" w:color="D9E2EC"/>
              <w:bottom w:val="single" w:sz="6" w:space="0" w:color="D9E2EC"/>
              <w:right w:val="single" w:sz="6" w:space="0" w:color="D9E2EC"/>
            </w:tcBorders>
          </w:tcPr>
          <w:p>
            <w:pPr>
              <w:spacing w:after="60" w:line="276" w:lineRule="auto"/>
            </w:pPr>
            <w:r>
              <w:rPr>
                <w:sz w:val="19"/>
              </w:rPr>
              <w:t>OperaHouse.Messaging</w:t>
            </w:r>
          </w:p>
        </w:tc>
        <w:tc>
          <w:tcPr>
            <w:tcW w:type="dxa" w:w="3096"/>
            <w:vAlign w:val="center"/>
            <w:tcBorders>
              <w:top w:val="single" w:sz="6" w:space="0" w:color="D9E2EC"/>
              <w:left w:val="single" w:sz="6" w:space="0" w:color="D9E2EC"/>
              <w:bottom w:val="single" w:sz="6" w:space="0" w:color="D9E2EC"/>
              <w:right w:val="single" w:sz="6" w:space="0" w:color="D9E2EC"/>
            </w:tcBorders>
          </w:tcPr>
          <w:p>
            <w:pPr>
              <w:spacing w:after="60" w:line="276" w:lineRule="auto"/>
            </w:pPr>
            <w:r>
              <w:rPr>
                <w:sz w:val="19"/>
              </w:rPr>
              <w:t>Add RabbitMQ settings and publisher.</w:t>
            </w:r>
          </w:p>
        </w:tc>
        <w:tc>
          <w:tcPr>
            <w:tcW w:type="dxa" w:w="3816"/>
            <w:vAlign w:val="center"/>
            <w:tcBorders>
              <w:top w:val="single" w:sz="6" w:space="0" w:color="D9E2EC"/>
              <w:left w:val="single" w:sz="6" w:space="0" w:color="D9E2EC"/>
              <w:bottom w:val="single" w:sz="6" w:space="0" w:color="D9E2EC"/>
              <w:right w:val="single" w:sz="6" w:space="0" w:color="D9E2EC"/>
            </w:tcBorders>
          </w:tcPr>
          <w:p>
            <w:pPr>
              <w:spacing w:after="60" w:line="276" w:lineRule="auto"/>
            </w:pPr>
            <w:r>
              <w:rPr>
                <w:sz w:val="19"/>
              </w:rPr>
              <w:t>Owns RabbitMQ.Client usage and keeps it readable.</w:t>
            </w:r>
          </w:p>
        </w:tc>
      </w:tr>
      <w:tr>
        <w:tc>
          <w:tcPr>
            <w:tcW w:type="dxa" w:w="2232"/>
            <w:vAlign w:val="center"/>
            <w:tcBorders>
              <w:top w:val="single" w:sz="6" w:space="0" w:color="D9E2EC"/>
              <w:left w:val="single" w:sz="6" w:space="0" w:color="D9E2EC"/>
              <w:bottom w:val="single" w:sz="6" w:space="0" w:color="D9E2EC"/>
              <w:right w:val="single" w:sz="6" w:space="0" w:color="D9E2EC"/>
            </w:tcBorders>
          </w:tcPr>
          <w:p>
            <w:pPr>
              <w:spacing w:after="60" w:line="276" w:lineRule="auto"/>
            </w:pPr>
            <w:r>
              <w:rPr>
                <w:sz w:val="19"/>
              </w:rPr>
              <w:t>OperaHouse.Booking.Application</w:t>
            </w:r>
          </w:p>
        </w:tc>
        <w:tc>
          <w:tcPr>
            <w:tcW w:type="dxa" w:w="3096"/>
            <w:vAlign w:val="center"/>
            <w:tcBorders>
              <w:top w:val="single" w:sz="6" w:space="0" w:color="D9E2EC"/>
              <w:left w:val="single" w:sz="6" w:space="0" w:color="D9E2EC"/>
              <w:bottom w:val="single" w:sz="6" w:space="0" w:color="D9E2EC"/>
              <w:right w:val="single" w:sz="6" w:space="0" w:color="D9E2EC"/>
            </w:tcBorders>
          </w:tcPr>
          <w:p>
            <w:pPr>
              <w:spacing w:after="60" w:line="276" w:lineRule="auto"/>
            </w:pPr>
            <w:r>
              <w:rPr>
                <w:sz w:val="19"/>
              </w:rPr>
              <w:t>Add IBookingEventPublisher and inject it into BookingService.</w:t>
            </w:r>
          </w:p>
        </w:tc>
        <w:tc>
          <w:tcPr>
            <w:tcW w:type="dxa" w:w="3816"/>
            <w:vAlign w:val="center"/>
            <w:tcBorders>
              <w:top w:val="single" w:sz="6" w:space="0" w:color="D9E2EC"/>
              <w:left w:val="single" w:sz="6" w:space="0" w:color="D9E2EC"/>
              <w:bottom w:val="single" w:sz="6" w:space="0" w:color="D9E2EC"/>
              <w:right w:val="single" w:sz="6" w:space="0" w:color="D9E2EC"/>
            </w:tcBorders>
          </w:tcPr>
          <w:p>
            <w:pPr>
              <w:spacing w:after="60" w:line="276" w:lineRule="auto"/>
            </w:pPr>
            <w:r>
              <w:rPr>
                <w:sz w:val="19"/>
              </w:rPr>
              <w:t>Application asks for an event to be published without knowing RabbitMQ mechanics.</w:t>
            </w:r>
          </w:p>
        </w:tc>
      </w:tr>
      <w:tr>
        <w:tc>
          <w:tcPr>
            <w:tcW w:type="dxa" w:w="2232"/>
            <w:vAlign w:val="center"/>
            <w:tcBorders>
              <w:top w:val="single" w:sz="6" w:space="0" w:color="D9E2EC"/>
              <w:left w:val="single" w:sz="6" w:space="0" w:color="D9E2EC"/>
              <w:bottom w:val="single" w:sz="6" w:space="0" w:color="D9E2EC"/>
              <w:right w:val="single" w:sz="6" w:space="0" w:color="D9E2EC"/>
            </w:tcBorders>
          </w:tcPr>
          <w:p>
            <w:pPr>
              <w:spacing w:after="60" w:line="276" w:lineRule="auto"/>
            </w:pPr>
            <w:r>
              <w:rPr>
                <w:sz w:val="19"/>
              </w:rPr>
              <w:t>OperaHouse.Booking.Infrastructure</w:t>
            </w:r>
          </w:p>
        </w:tc>
        <w:tc>
          <w:tcPr>
            <w:tcW w:type="dxa" w:w="3096"/>
            <w:vAlign w:val="center"/>
            <w:tcBorders>
              <w:top w:val="single" w:sz="6" w:space="0" w:color="D9E2EC"/>
              <w:left w:val="single" w:sz="6" w:space="0" w:color="D9E2EC"/>
              <w:bottom w:val="single" w:sz="6" w:space="0" w:color="D9E2EC"/>
              <w:right w:val="single" w:sz="6" w:space="0" w:color="D9E2EC"/>
            </w:tcBorders>
          </w:tcPr>
          <w:p>
            <w:pPr>
              <w:spacing w:after="60" w:line="276" w:lineRule="auto"/>
            </w:pPr>
            <w:r>
              <w:rPr>
                <w:sz w:val="19"/>
              </w:rPr>
              <w:t>Add RabbitMqBookingEventPublisher.</w:t>
            </w:r>
          </w:p>
        </w:tc>
        <w:tc>
          <w:tcPr>
            <w:tcW w:type="dxa" w:w="3816"/>
            <w:vAlign w:val="center"/>
            <w:tcBorders>
              <w:top w:val="single" w:sz="6" w:space="0" w:color="D9E2EC"/>
              <w:left w:val="single" w:sz="6" w:space="0" w:color="D9E2EC"/>
              <w:bottom w:val="single" w:sz="6" w:space="0" w:color="D9E2EC"/>
              <w:right w:val="single" w:sz="6" w:space="0" w:color="D9E2EC"/>
            </w:tcBorders>
          </w:tcPr>
          <w:p>
            <w:pPr>
              <w:spacing w:after="60" w:line="276" w:lineRule="auto"/>
            </w:pPr>
            <w:r>
              <w:rPr>
                <w:sz w:val="19"/>
              </w:rPr>
              <w:t>Builds the contract event from the saved booking and calls Messaging.</w:t>
            </w:r>
          </w:p>
        </w:tc>
      </w:tr>
      <w:tr>
        <w:tc>
          <w:tcPr>
            <w:tcW w:type="dxa" w:w="2232"/>
            <w:vAlign w:val="center"/>
            <w:tcBorders>
              <w:top w:val="single" w:sz="6" w:space="0" w:color="D9E2EC"/>
              <w:left w:val="single" w:sz="6" w:space="0" w:color="D9E2EC"/>
              <w:bottom w:val="single" w:sz="6" w:space="0" w:color="D9E2EC"/>
              <w:right w:val="single" w:sz="6" w:space="0" w:color="D9E2EC"/>
            </w:tcBorders>
          </w:tcPr>
          <w:p>
            <w:pPr>
              <w:spacing w:after="60" w:line="276" w:lineRule="auto"/>
            </w:pPr>
            <w:r>
              <w:rPr>
                <w:sz w:val="19"/>
              </w:rPr>
              <w:t>OperaHouse.Booking.Api</w:t>
            </w:r>
          </w:p>
        </w:tc>
        <w:tc>
          <w:tcPr>
            <w:tcW w:type="dxa" w:w="3096"/>
            <w:vAlign w:val="center"/>
            <w:tcBorders>
              <w:top w:val="single" w:sz="6" w:space="0" w:color="D9E2EC"/>
              <w:left w:val="single" w:sz="6" w:space="0" w:color="D9E2EC"/>
              <w:bottom w:val="single" w:sz="6" w:space="0" w:color="D9E2EC"/>
              <w:right w:val="single" w:sz="6" w:space="0" w:color="D9E2EC"/>
            </w:tcBorders>
          </w:tcPr>
          <w:p>
            <w:pPr>
              <w:spacing w:after="60" w:line="276" w:lineRule="auto"/>
            </w:pPr>
            <w:r>
              <w:rPr>
                <w:sz w:val="19"/>
              </w:rPr>
              <w:t>Add RabbitMQ config and DI registrations.</w:t>
            </w:r>
          </w:p>
        </w:tc>
        <w:tc>
          <w:tcPr>
            <w:tcW w:type="dxa" w:w="3816"/>
            <w:vAlign w:val="center"/>
            <w:tcBorders>
              <w:top w:val="single" w:sz="6" w:space="0" w:color="D9E2EC"/>
              <w:left w:val="single" w:sz="6" w:space="0" w:color="D9E2EC"/>
              <w:bottom w:val="single" w:sz="6" w:space="0" w:color="D9E2EC"/>
              <w:right w:val="single" w:sz="6" w:space="0" w:color="D9E2EC"/>
            </w:tcBorders>
          </w:tcPr>
          <w:p>
            <w:pPr>
              <w:spacing w:after="60" w:line="276" w:lineRule="auto"/>
            </w:pPr>
            <w:r>
              <w:rPr>
                <w:sz w:val="19"/>
              </w:rPr>
              <w:t>Composition root wires the concrete publisher into the app.</w:t>
            </w:r>
          </w:p>
        </w:tc>
      </w:tr>
      <w:tr>
        <w:tc>
          <w:tcPr>
            <w:tcW w:type="dxa" w:w="2232"/>
            <w:vAlign w:val="center"/>
            <w:tcBorders>
              <w:top w:val="single" w:sz="6" w:space="0" w:color="D9E2EC"/>
              <w:left w:val="single" w:sz="6" w:space="0" w:color="D9E2EC"/>
              <w:bottom w:val="single" w:sz="6" w:space="0" w:color="D9E2EC"/>
              <w:right w:val="single" w:sz="6" w:space="0" w:color="D9E2EC"/>
            </w:tcBorders>
          </w:tcPr>
          <w:p>
            <w:pPr>
              <w:spacing w:after="60" w:line="276" w:lineRule="auto"/>
            </w:pPr>
            <w:r>
              <w:rPr>
                <w:sz w:val="19"/>
              </w:rPr>
              <w:t>docker-compose.yml</w:t>
            </w:r>
          </w:p>
        </w:tc>
        <w:tc>
          <w:tcPr>
            <w:tcW w:type="dxa" w:w="3096"/>
            <w:vAlign w:val="center"/>
            <w:tcBorders>
              <w:top w:val="single" w:sz="6" w:space="0" w:color="D9E2EC"/>
              <w:left w:val="single" w:sz="6" w:space="0" w:color="D9E2EC"/>
              <w:bottom w:val="single" w:sz="6" w:space="0" w:color="D9E2EC"/>
              <w:right w:val="single" w:sz="6" w:space="0" w:color="D9E2EC"/>
            </w:tcBorders>
          </w:tcPr>
          <w:p>
            <w:pPr>
              <w:spacing w:after="60" w:line="276" w:lineRule="auto"/>
            </w:pPr>
            <w:r>
              <w:rPr>
                <w:sz w:val="19"/>
              </w:rPr>
              <w:t>No expected change.</w:t>
            </w:r>
          </w:p>
        </w:tc>
        <w:tc>
          <w:tcPr>
            <w:tcW w:type="dxa" w:w="3816"/>
            <w:vAlign w:val="center"/>
            <w:tcBorders>
              <w:top w:val="single" w:sz="6" w:space="0" w:color="D9E2EC"/>
              <w:left w:val="single" w:sz="6" w:space="0" w:color="D9E2EC"/>
              <w:bottom w:val="single" w:sz="6" w:space="0" w:color="D9E2EC"/>
              <w:right w:val="single" w:sz="6" w:space="0" w:color="D9E2EC"/>
            </w:tcBorders>
          </w:tcPr>
          <w:p>
            <w:pPr>
              <w:spacing w:after="60" w:line="276" w:lineRule="auto"/>
            </w:pPr>
            <w:r>
              <w:rPr>
                <w:sz w:val="19"/>
              </w:rPr>
              <w:t>RabbitMQ management container is already present.</w:t>
            </w:r>
          </w:p>
        </w:tc>
      </w:tr>
    </w:tbl>
    <w:p>
      <w:pPr>
        <w:pStyle w:val="Heading1"/>
      </w:pPr>
      <w:r>
        <w:rPr>
          <w:rFonts w:ascii="Calibri" w:hAnsi="Calibri"/>
          <w:color w:val="2E74B5"/>
          <w:sz w:val="32"/>
        </w:rPr>
        <w:t>7. Proposed event shape</w:t>
      </w:r>
    </w:p>
    <w:p>
      <w:pPr>
        <w:spacing w:after="120" w:line="300" w:lineRule="auto"/>
      </w:pPr>
      <w:r>
        <w:rPr>
          <w:rFonts w:ascii="Calibri" w:hAnsi="Calibri"/>
          <w:sz w:val="22"/>
        </w:rPr>
        <w:t>BookingCreated should live in Contracts because it is not an EF entity and not an API request. It is the public message other processes consume.</w:t>
      </w:r>
    </w:p>
    <w:tbl>
      <w:tblPr>
        <w:tblStyle w:val="TableGrid"/>
        <w:tblW w:type="auto" w:w="0"/>
        <w:jc w:val="center"/>
        <w:tblLook w:firstColumn="1" w:firstRow="1" w:lastColumn="0" w:lastRow="0" w:noHBand="0" w:noVBand="1" w:val="04A0"/>
      </w:tblPr>
      <w:tblGrid>
        <w:gridCol w:w="3120"/>
        <w:gridCol w:w="3120"/>
        <w:gridCol w:w="3120"/>
      </w:tblGrid>
      <w:tr>
        <w:tc>
          <w:tcPr>
            <w:tcW w:type="dxa" w:w="2232"/>
            <w:vAlign w:val="center"/>
            <w:tcBorders>
              <w:top w:val="single" w:sz="6" w:space="0" w:color="D9E2EC"/>
              <w:left w:val="single" w:sz="6" w:space="0" w:color="D9E2EC"/>
              <w:bottom w:val="single" w:sz="6" w:space="0" w:color="D9E2EC"/>
              <w:right w:val="single" w:sz="6" w:space="0" w:color="D9E2EC"/>
            </w:tcBorders>
            <w:shd w:fill="E8EEF5"/>
          </w:tcPr>
          <w:p>
            <w:pPr>
              <w:spacing w:after="60" w:line="276" w:lineRule="auto"/>
            </w:pPr>
            <w:r>
              <w:rPr>
                <w:b/>
                <w:color w:val="1F4D78"/>
                <w:sz w:val="19"/>
              </w:rPr>
              <w:t>Field</w:t>
            </w:r>
          </w:p>
        </w:tc>
        <w:tc>
          <w:tcPr>
            <w:tcW w:type="dxa" w:w="1800"/>
            <w:vAlign w:val="center"/>
            <w:tcBorders>
              <w:top w:val="single" w:sz="6" w:space="0" w:color="D9E2EC"/>
              <w:left w:val="single" w:sz="6" w:space="0" w:color="D9E2EC"/>
              <w:bottom w:val="single" w:sz="6" w:space="0" w:color="D9E2EC"/>
              <w:right w:val="single" w:sz="6" w:space="0" w:color="D9E2EC"/>
            </w:tcBorders>
            <w:shd w:fill="E8EEF5"/>
          </w:tcPr>
          <w:p>
            <w:pPr>
              <w:spacing w:after="60" w:line="276" w:lineRule="auto"/>
            </w:pPr>
            <w:r>
              <w:rPr>
                <w:b/>
                <w:color w:val="1F4D78"/>
                <w:sz w:val="19"/>
              </w:rPr>
              <w:t>Type</w:t>
            </w:r>
          </w:p>
        </w:tc>
        <w:tc>
          <w:tcPr>
            <w:tcW w:type="dxa" w:w="5112"/>
            <w:vAlign w:val="center"/>
            <w:tcBorders>
              <w:top w:val="single" w:sz="6" w:space="0" w:color="D9E2EC"/>
              <w:left w:val="single" w:sz="6" w:space="0" w:color="D9E2EC"/>
              <w:bottom w:val="single" w:sz="6" w:space="0" w:color="D9E2EC"/>
              <w:right w:val="single" w:sz="6" w:space="0" w:color="D9E2EC"/>
            </w:tcBorders>
            <w:shd w:fill="E8EEF5"/>
          </w:tcPr>
          <w:p>
            <w:pPr>
              <w:spacing w:after="60" w:line="276" w:lineRule="auto"/>
            </w:pPr>
            <w:r>
              <w:rPr>
                <w:b/>
                <w:color w:val="1F4D78"/>
                <w:sz w:val="19"/>
              </w:rPr>
              <w:t>Purpose</w:t>
            </w:r>
          </w:p>
        </w:tc>
      </w:tr>
      <w:tr>
        <w:tc>
          <w:tcPr>
            <w:tcW w:type="dxa" w:w="2232"/>
            <w:vAlign w:val="center"/>
            <w:tcBorders>
              <w:top w:val="single" w:sz="6" w:space="0" w:color="D9E2EC"/>
              <w:left w:val="single" w:sz="6" w:space="0" w:color="D9E2EC"/>
              <w:bottom w:val="single" w:sz="6" w:space="0" w:color="D9E2EC"/>
              <w:right w:val="single" w:sz="6" w:space="0" w:color="D9E2EC"/>
            </w:tcBorders>
          </w:tcPr>
          <w:p>
            <w:pPr>
              <w:spacing w:after="60" w:line="276" w:lineRule="auto"/>
            </w:pPr>
            <w:r>
              <w:rPr>
                <w:sz w:val="19"/>
              </w:rPr>
              <w:t>MessageId</w:t>
            </w:r>
          </w:p>
        </w:tc>
        <w:tc>
          <w:tcPr>
            <w:tcW w:type="dxa" w:w="1800"/>
            <w:vAlign w:val="center"/>
            <w:tcBorders>
              <w:top w:val="single" w:sz="6" w:space="0" w:color="D9E2EC"/>
              <w:left w:val="single" w:sz="6" w:space="0" w:color="D9E2EC"/>
              <w:bottom w:val="single" w:sz="6" w:space="0" w:color="D9E2EC"/>
              <w:right w:val="single" w:sz="6" w:space="0" w:color="D9E2EC"/>
            </w:tcBorders>
          </w:tcPr>
          <w:p>
            <w:pPr>
              <w:spacing w:after="60" w:line="276" w:lineRule="auto"/>
            </w:pPr>
            <w:r>
              <w:rPr>
                <w:sz w:val="19"/>
              </w:rPr>
              <w:t>Guid</w:t>
            </w:r>
          </w:p>
        </w:tc>
        <w:tc>
          <w:tcPr>
            <w:tcW w:type="dxa" w:w="5112"/>
            <w:vAlign w:val="center"/>
            <w:tcBorders>
              <w:top w:val="single" w:sz="6" w:space="0" w:color="D9E2EC"/>
              <w:left w:val="single" w:sz="6" w:space="0" w:color="D9E2EC"/>
              <w:bottom w:val="single" w:sz="6" w:space="0" w:color="D9E2EC"/>
              <w:right w:val="single" w:sz="6" w:space="0" w:color="D9E2EC"/>
            </w:tcBorders>
          </w:tcPr>
          <w:p>
            <w:pPr>
              <w:spacing w:after="60" w:line="276" w:lineRule="auto"/>
            </w:pPr>
            <w:r>
              <w:rPr>
                <w:sz w:val="19"/>
              </w:rPr>
              <w:t>Unique identity of this message.</w:t>
            </w:r>
          </w:p>
        </w:tc>
      </w:tr>
      <w:tr>
        <w:tc>
          <w:tcPr>
            <w:tcW w:type="dxa" w:w="2232"/>
            <w:vAlign w:val="center"/>
            <w:tcBorders>
              <w:top w:val="single" w:sz="6" w:space="0" w:color="D9E2EC"/>
              <w:left w:val="single" w:sz="6" w:space="0" w:color="D9E2EC"/>
              <w:bottom w:val="single" w:sz="6" w:space="0" w:color="D9E2EC"/>
              <w:right w:val="single" w:sz="6" w:space="0" w:color="D9E2EC"/>
            </w:tcBorders>
          </w:tcPr>
          <w:p>
            <w:pPr>
              <w:spacing w:after="60" w:line="276" w:lineRule="auto"/>
            </w:pPr>
            <w:r>
              <w:rPr>
                <w:sz w:val="19"/>
              </w:rPr>
              <w:t>CorrelationId</w:t>
            </w:r>
          </w:p>
        </w:tc>
        <w:tc>
          <w:tcPr>
            <w:tcW w:type="dxa" w:w="1800"/>
            <w:vAlign w:val="center"/>
            <w:tcBorders>
              <w:top w:val="single" w:sz="6" w:space="0" w:color="D9E2EC"/>
              <w:left w:val="single" w:sz="6" w:space="0" w:color="D9E2EC"/>
              <w:bottom w:val="single" w:sz="6" w:space="0" w:color="D9E2EC"/>
              <w:right w:val="single" w:sz="6" w:space="0" w:color="D9E2EC"/>
            </w:tcBorders>
          </w:tcPr>
          <w:p>
            <w:pPr>
              <w:spacing w:after="60" w:line="276" w:lineRule="auto"/>
            </w:pPr>
            <w:r>
              <w:rPr>
                <w:sz w:val="19"/>
              </w:rPr>
              <w:t>Guid</w:t>
            </w:r>
          </w:p>
        </w:tc>
        <w:tc>
          <w:tcPr>
            <w:tcW w:type="dxa" w:w="5112"/>
            <w:vAlign w:val="center"/>
            <w:tcBorders>
              <w:top w:val="single" w:sz="6" w:space="0" w:color="D9E2EC"/>
              <w:left w:val="single" w:sz="6" w:space="0" w:color="D9E2EC"/>
              <w:bottom w:val="single" w:sz="6" w:space="0" w:color="D9E2EC"/>
              <w:right w:val="single" w:sz="6" w:space="0" w:color="D9E2EC"/>
            </w:tcBorders>
          </w:tcPr>
          <w:p>
            <w:pPr>
              <w:spacing w:after="60" w:line="276" w:lineRule="auto"/>
            </w:pPr>
            <w:r>
              <w:rPr>
                <w:sz w:val="19"/>
              </w:rPr>
              <w:t>Connects logs across API and worker. Initially generated per request.</w:t>
            </w:r>
          </w:p>
        </w:tc>
      </w:tr>
      <w:tr>
        <w:tc>
          <w:tcPr>
            <w:tcW w:type="dxa" w:w="2232"/>
            <w:vAlign w:val="center"/>
            <w:tcBorders>
              <w:top w:val="single" w:sz="6" w:space="0" w:color="D9E2EC"/>
              <w:left w:val="single" w:sz="6" w:space="0" w:color="D9E2EC"/>
              <w:bottom w:val="single" w:sz="6" w:space="0" w:color="D9E2EC"/>
              <w:right w:val="single" w:sz="6" w:space="0" w:color="D9E2EC"/>
            </w:tcBorders>
          </w:tcPr>
          <w:p>
            <w:pPr>
              <w:spacing w:after="60" w:line="276" w:lineRule="auto"/>
            </w:pPr>
            <w:r>
              <w:rPr>
                <w:sz w:val="19"/>
              </w:rPr>
              <w:t>BookingId</w:t>
            </w:r>
          </w:p>
        </w:tc>
        <w:tc>
          <w:tcPr>
            <w:tcW w:type="dxa" w:w="1800"/>
            <w:vAlign w:val="center"/>
            <w:tcBorders>
              <w:top w:val="single" w:sz="6" w:space="0" w:color="D9E2EC"/>
              <w:left w:val="single" w:sz="6" w:space="0" w:color="D9E2EC"/>
              <w:bottom w:val="single" w:sz="6" w:space="0" w:color="D9E2EC"/>
              <w:right w:val="single" w:sz="6" w:space="0" w:color="D9E2EC"/>
            </w:tcBorders>
          </w:tcPr>
          <w:p>
            <w:pPr>
              <w:spacing w:after="60" w:line="276" w:lineRule="auto"/>
            </w:pPr>
            <w:r>
              <w:rPr>
                <w:sz w:val="19"/>
              </w:rPr>
              <w:t>Guid</w:t>
            </w:r>
          </w:p>
        </w:tc>
        <w:tc>
          <w:tcPr>
            <w:tcW w:type="dxa" w:w="5112"/>
            <w:vAlign w:val="center"/>
            <w:tcBorders>
              <w:top w:val="single" w:sz="6" w:space="0" w:color="D9E2EC"/>
              <w:left w:val="single" w:sz="6" w:space="0" w:color="D9E2EC"/>
              <w:bottom w:val="single" w:sz="6" w:space="0" w:color="D9E2EC"/>
              <w:right w:val="single" w:sz="6" w:space="0" w:color="D9E2EC"/>
            </w:tcBorders>
          </w:tcPr>
          <w:p>
            <w:pPr>
              <w:spacing w:after="60" w:line="276" w:lineRule="auto"/>
            </w:pPr>
            <w:r>
              <w:rPr>
                <w:sz w:val="19"/>
              </w:rPr>
              <w:t>The booking that was just created.</w:t>
            </w:r>
          </w:p>
        </w:tc>
      </w:tr>
      <w:tr>
        <w:tc>
          <w:tcPr>
            <w:tcW w:type="dxa" w:w="2232"/>
            <w:vAlign w:val="center"/>
            <w:tcBorders>
              <w:top w:val="single" w:sz="6" w:space="0" w:color="D9E2EC"/>
              <w:left w:val="single" w:sz="6" w:space="0" w:color="D9E2EC"/>
              <w:bottom w:val="single" w:sz="6" w:space="0" w:color="D9E2EC"/>
              <w:right w:val="single" w:sz="6" w:space="0" w:color="D9E2EC"/>
            </w:tcBorders>
          </w:tcPr>
          <w:p>
            <w:pPr>
              <w:spacing w:after="60" w:line="276" w:lineRule="auto"/>
            </w:pPr>
            <w:r>
              <w:rPr>
                <w:sz w:val="19"/>
              </w:rPr>
              <w:t>PerformanceId</w:t>
            </w:r>
          </w:p>
        </w:tc>
        <w:tc>
          <w:tcPr>
            <w:tcW w:type="dxa" w:w="1800"/>
            <w:vAlign w:val="center"/>
            <w:tcBorders>
              <w:top w:val="single" w:sz="6" w:space="0" w:color="D9E2EC"/>
              <w:left w:val="single" w:sz="6" w:space="0" w:color="D9E2EC"/>
              <w:bottom w:val="single" w:sz="6" w:space="0" w:color="D9E2EC"/>
              <w:right w:val="single" w:sz="6" w:space="0" w:color="D9E2EC"/>
            </w:tcBorders>
          </w:tcPr>
          <w:p>
            <w:pPr>
              <w:spacing w:after="60" w:line="276" w:lineRule="auto"/>
            </w:pPr>
            <w:r>
              <w:rPr>
                <w:sz w:val="19"/>
              </w:rPr>
              <w:t>Guid</w:t>
            </w:r>
          </w:p>
        </w:tc>
        <w:tc>
          <w:tcPr>
            <w:tcW w:type="dxa" w:w="5112"/>
            <w:vAlign w:val="center"/>
            <w:tcBorders>
              <w:top w:val="single" w:sz="6" w:space="0" w:color="D9E2EC"/>
              <w:left w:val="single" w:sz="6" w:space="0" w:color="D9E2EC"/>
              <w:bottom w:val="single" w:sz="6" w:space="0" w:color="D9E2EC"/>
              <w:right w:val="single" w:sz="6" w:space="0" w:color="D9E2EC"/>
            </w:tcBorders>
          </w:tcPr>
          <w:p>
            <w:pPr>
              <w:spacing w:after="60" w:line="276" w:lineRule="auto"/>
            </w:pPr>
            <w:r>
              <w:rPr>
                <w:sz w:val="19"/>
              </w:rPr>
              <w:t>The performance being booked.</w:t>
            </w:r>
          </w:p>
        </w:tc>
      </w:tr>
      <w:tr>
        <w:tc>
          <w:tcPr>
            <w:tcW w:type="dxa" w:w="2232"/>
            <w:vAlign w:val="center"/>
            <w:tcBorders>
              <w:top w:val="single" w:sz="6" w:space="0" w:color="D9E2EC"/>
              <w:left w:val="single" w:sz="6" w:space="0" w:color="D9E2EC"/>
              <w:bottom w:val="single" w:sz="6" w:space="0" w:color="D9E2EC"/>
              <w:right w:val="single" w:sz="6" w:space="0" w:color="D9E2EC"/>
            </w:tcBorders>
          </w:tcPr>
          <w:p>
            <w:pPr>
              <w:spacing w:after="60" w:line="276" w:lineRule="auto"/>
            </w:pPr>
            <w:r>
              <w:rPr>
                <w:sz w:val="19"/>
              </w:rPr>
              <w:t>CustomerEmail</w:t>
            </w:r>
          </w:p>
        </w:tc>
        <w:tc>
          <w:tcPr>
            <w:tcW w:type="dxa" w:w="1800"/>
            <w:vAlign w:val="center"/>
            <w:tcBorders>
              <w:top w:val="single" w:sz="6" w:space="0" w:color="D9E2EC"/>
              <w:left w:val="single" w:sz="6" w:space="0" w:color="D9E2EC"/>
              <w:bottom w:val="single" w:sz="6" w:space="0" w:color="D9E2EC"/>
              <w:right w:val="single" w:sz="6" w:space="0" w:color="D9E2EC"/>
            </w:tcBorders>
          </w:tcPr>
          <w:p>
            <w:pPr>
              <w:spacing w:after="60" w:line="276" w:lineRule="auto"/>
            </w:pPr>
            <w:r>
              <w:rPr>
                <w:sz w:val="19"/>
              </w:rPr>
              <w:t>string</w:t>
            </w:r>
          </w:p>
        </w:tc>
        <w:tc>
          <w:tcPr>
            <w:tcW w:type="dxa" w:w="5112"/>
            <w:vAlign w:val="center"/>
            <w:tcBorders>
              <w:top w:val="single" w:sz="6" w:space="0" w:color="D9E2EC"/>
              <w:left w:val="single" w:sz="6" w:space="0" w:color="D9E2EC"/>
              <w:bottom w:val="single" w:sz="6" w:space="0" w:color="D9E2EC"/>
              <w:right w:val="single" w:sz="6" w:space="0" w:color="D9E2EC"/>
            </w:tcBorders>
          </w:tcPr>
          <w:p>
            <w:pPr>
              <w:spacing w:after="60" w:line="276" w:lineRule="auto"/>
            </w:pPr>
            <w:r>
              <w:rPr>
                <w:sz w:val="19"/>
              </w:rPr>
              <w:t>Recipient for the later fake email.</w:t>
            </w:r>
          </w:p>
        </w:tc>
      </w:tr>
      <w:tr>
        <w:tc>
          <w:tcPr>
            <w:tcW w:type="dxa" w:w="2232"/>
            <w:vAlign w:val="center"/>
            <w:tcBorders>
              <w:top w:val="single" w:sz="6" w:space="0" w:color="D9E2EC"/>
              <w:left w:val="single" w:sz="6" w:space="0" w:color="D9E2EC"/>
              <w:bottom w:val="single" w:sz="6" w:space="0" w:color="D9E2EC"/>
              <w:right w:val="single" w:sz="6" w:space="0" w:color="D9E2EC"/>
            </w:tcBorders>
          </w:tcPr>
          <w:p>
            <w:pPr>
              <w:spacing w:after="60" w:line="276" w:lineRule="auto"/>
            </w:pPr>
            <w:r>
              <w:rPr>
                <w:sz w:val="19"/>
              </w:rPr>
              <w:t>Seats</w:t>
            </w:r>
          </w:p>
        </w:tc>
        <w:tc>
          <w:tcPr>
            <w:tcW w:type="dxa" w:w="1800"/>
            <w:vAlign w:val="center"/>
            <w:tcBorders>
              <w:top w:val="single" w:sz="6" w:space="0" w:color="D9E2EC"/>
              <w:left w:val="single" w:sz="6" w:space="0" w:color="D9E2EC"/>
              <w:bottom w:val="single" w:sz="6" w:space="0" w:color="D9E2EC"/>
              <w:right w:val="single" w:sz="6" w:space="0" w:color="D9E2EC"/>
            </w:tcBorders>
          </w:tcPr>
          <w:p>
            <w:pPr>
              <w:spacing w:after="60" w:line="276" w:lineRule="auto"/>
            </w:pPr>
            <w:r>
              <w:rPr>
                <w:sz w:val="19"/>
              </w:rPr>
              <w:t>int</w:t>
            </w:r>
          </w:p>
        </w:tc>
        <w:tc>
          <w:tcPr>
            <w:tcW w:type="dxa" w:w="5112"/>
            <w:vAlign w:val="center"/>
            <w:tcBorders>
              <w:top w:val="single" w:sz="6" w:space="0" w:color="D9E2EC"/>
              <w:left w:val="single" w:sz="6" w:space="0" w:color="D9E2EC"/>
              <w:bottom w:val="single" w:sz="6" w:space="0" w:color="D9E2EC"/>
              <w:right w:val="single" w:sz="6" w:space="0" w:color="D9E2EC"/>
            </w:tcBorders>
          </w:tcPr>
          <w:p>
            <w:pPr>
              <w:spacing w:after="60" w:line="276" w:lineRule="auto"/>
            </w:pPr>
            <w:r>
              <w:rPr>
                <w:sz w:val="19"/>
              </w:rPr>
              <w:t>Number of seats requested.</w:t>
            </w:r>
          </w:p>
        </w:tc>
      </w:tr>
      <w:tr>
        <w:tc>
          <w:tcPr>
            <w:tcW w:type="dxa" w:w="2232"/>
            <w:vAlign w:val="center"/>
            <w:tcBorders>
              <w:top w:val="single" w:sz="6" w:space="0" w:color="D9E2EC"/>
              <w:left w:val="single" w:sz="6" w:space="0" w:color="D9E2EC"/>
              <w:bottom w:val="single" w:sz="6" w:space="0" w:color="D9E2EC"/>
              <w:right w:val="single" w:sz="6" w:space="0" w:color="D9E2EC"/>
            </w:tcBorders>
          </w:tcPr>
          <w:p>
            <w:pPr>
              <w:spacing w:after="60" w:line="276" w:lineRule="auto"/>
            </w:pPr>
            <w:r>
              <w:rPr>
                <w:sz w:val="19"/>
              </w:rPr>
              <w:t>OccurredAt</w:t>
            </w:r>
          </w:p>
        </w:tc>
        <w:tc>
          <w:tcPr>
            <w:tcW w:type="dxa" w:w="1800"/>
            <w:vAlign w:val="center"/>
            <w:tcBorders>
              <w:top w:val="single" w:sz="6" w:space="0" w:color="D9E2EC"/>
              <w:left w:val="single" w:sz="6" w:space="0" w:color="D9E2EC"/>
              <w:bottom w:val="single" w:sz="6" w:space="0" w:color="D9E2EC"/>
              <w:right w:val="single" w:sz="6" w:space="0" w:color="D9E2EC"/>
            </w:tcBorders>
          </w:tcPr>
          <w:p>
            <w:pPr>
              <w:spacing w:after="60" w:line="276" w:lineRule="auto"/>
            </w:pPr>
            <w:r>
              <w:rPr>
                <w:sz w:val="19"/>
              </w:rPr>
              <w:t>DateTimeOffset</w:t>
            </w:r>
          </w:p>
        </w:tc>
        <w:tc>
          <w:tcPr>
            <w:tcW w:type="dxa" w:w="5112"/>
            <w:vAlign w:val="center"/>
            <w:tcBorders>
              <w:top w:val="single" w:sz="6" w:space="0" w:color="D9E2EC"/>
              <w:left w:val="single" w:sz="6" w:space="0" w:color="D9E2EC"/>
              <w:bottom w:val="single" w:sz="6" w:space="0" w:color="D9E2EC"/>
              <w:right w:val="single" w:sz="6" w:space="0" w:color="D9E2EC"/>
            </w:tcBorders>
          </w:tcPr>
          <w:p>
            <w:pPr>
              <w:spacing w:after="60" w:line="276" w:lineRule="auto"/>
            </w:pPr>
            <w:r>
              <w:rPr>
                <w:sz w:val="19"/>
              </w:rPr>
              <w:t>When the event happened in UTC.</w:t>
            </w:r>
          </w:p>
        </w:tc>
      </w:tr>
    </w:tbl>
    <w:p>
      <w:pPr>
        <w:pStyle w:val="Heading1"/>
      </w:pPr>
      <w:r>
        <w:rPr>
          <w:rFonts w:ascii="Calibri" w:hAnsi="Calibri"/>
          <w:color w:val="2E74B5"/>
          <w:sz w:val="32"/>
        </w:rPr>
        <w:t>8. Implementation sequence</w:t>
      </w:r>
    </w:p>
    <w:p>
      <w:pPr>
        <w:pStyle w:val="ListNumber"/>
        <w:spacing w:after="80" w:line="300" w:lineRule="auto"/>
        <w:ind w:left="540" w:hanging="271"/>
      </w:pPr>
      <w:r>
        <w:rPr>
          <w:rFonts w:ascii="Calibri" w:hAnsi="Calibri"/>
          <w:sz w:val="22"/>
        </w:rPr>
        <w:t>Add the BookingCreated contract record.</w:t>
      </w:r>
    </w:p>
    <w:p>
      <w:pPr>
        <w:pStyle w:val="ListNumber"/>
        <w:spacing w:after="80" w:line="300" w:lineRule="auto"/>
        <w:ind w:left="540" w:hanging="271"/>
      </w:pPr>
      <w:r>
        <w:rPr>
          <w:rFonts w:ascii="Calibri" w:hAnsi="Calibri"/>
          <w:sz w:val="22"/>
        </w:rPr>
        <w:t>Add RabbitMQ settings to appsettings.json under a RabbitMq section.</w:t>
      </w:r>
    </w:p>
    <w:p>
      <w:pPr>
        <w:pStyle w:val="ListNumber"/>
        <w:spacing w:after="80" w:line="300" w:lineRule="auto"/>
        <w:ind w:left="540" w:hanging="271"/>
      </w:pPr>
      <w:r>
        <w:rPr>
          <w:rFonts w:ascii="Calibri" w:hAnsi="Calibri"/>
          <w:sz w:val="22"/>
        </w:rPr>
        <w:t>Install RabbitMQ.Client 7.x in OperaHouse.Messaging.</w:t>
      </w:r>
    </w:p>
    <w:p>
      <w:pPr>
        <w:pStyle w:val="ListNumber"/>
        <w:spacing w:after="80" w:line="300" w:lineRule="auto"/>
        <w:ind w:left="540" w:hanging="271"/>
      </w:pPr>
      <w:r>
        <w:rPr>
          <w:rFonts w:ascii="Calibri" w:hAnsi="Calibri"/>
          <w:sz w:val="22"/>
        </w:rPr>
        <w:t>Create a simple RabbitMqPublisher that declares the topic exchange and publishes persistent JSON messages.</w:t>
      </w:r>
    </w:p>
    <w:p>
      <w:pPr>
        <w:pStyle w:val="ListNumber"/>
        <w:spacing w:after="80" w:line="300" w:lineRule="auto"/>
        <w:ind w:left="540" w:hanging="271"/>
      </w:pPr>
      <w:r>
        <w:rPr>
          <w:rFonts w:ascii="Calibri" w:hAnsi="Calibri"/>
          <w:sz w:val="22"/>
        </w:rPr>
        <w:t>Add IBookingEventPublisher in Application.</w:t>
      </w:r>
    </w:p>
    <w:p>
      <w:pPr>
        <w:pStyle w:val="ListNumber"/>
        <w:spacing w:after="80" w:line="300" w:lineRule="auto"/>
        <w:ind w:left="540" w:hanging="271"/>
      </w:pPr>
      <w:r>
        <w:rPr>
          <w:rFonts w:ascii="Calibri" w:hAnsi="Calibri"/>
          <w:sz w:val="22"/>
        </w:rPr>
        <w:t>Add RabbitMqBookingEventPublisher in Infrastructure.</w:t>
      </w:r>
    </w:p>
    <w:p>
      <w:pPr>
        <w:pStyle w:val="ListNumber"/>
        <w:spacing w:after="80" w:line="300" w:lineRule="auto"/>
        <w:ind w:left="540" w:hanging="271"/>
      </w:pPr>
      <w:r>
        <w:rPr>
          <w:rFonts w:ascii="Calibri" w:hAnsi="Calibri"/>
          <w:sz w:val="22"/>
        </w:rPr>
        <w:t>Inject IBookingEventPublisher into BookingService and publish after AddAsync succeeds.</w:t>
      </w:r>
    </w:p>
    <w:p>
      <w:pPr>
        <w:pStyle w:val="ListNumber"/>
        <w:spacing w:after="80" w:line="300" w:lineRule="auto"/>
        <w:ind w:left="540" w:hanging="271"/>
      </w:pPr>
      <w:r>
        <w:rPr>
          <w:rFonts w:ascii="Calibri" w:hAnsi="Calibri"/>
          <w:sz w:val="22"/>
        </w:rPr>
        <w:t>Register settings and services in Program.cs.</w:t>
      </w:r>
    </w:p>
    <w:p>
      <w:pPr>
        <w:pStyle w:val="ListNumber"/>
        <w:spacing w:after="80" w:line="300" w:lineRule="auto"/>
        <w:ind w:left="540" w:hanging="271"/>
      </w:pPr>
      <w:r>
        <w:rPr>
          <w:rFonts w:ascii="Calibri" w:hAnsi="Calibri"/>
          <w:sz w:val="22"/>
        </w:rPr>
        <w:t>Run Docker, restart the API, POST a booking from Swagger, and verify RabbitMQ connection/publish behavior.</w:t>
      </w:r>
    </w:p>
    <w:p>
      <w:pPr>
        <w:pStyle w:val="Heading1"/>
      </w:pPr>
      <w:r>
        <w:rPr>
          <w:rFonts w:ascii="Calibri" w:hAnsi="Calibri"/>
          <w:color w:val="2E74B5"/>
          <w:sz w:val="32"/>
        </w:rPr>
        <w:t>9. What we intentionally do not add yet</w:t>
      </w:r>
    </w:p>
    <w:p>
      <w:pPr>
        <w:pStyle w:val="ListBullet"/>
        <w:spacing w:after="80" w:line="300" w:lineRule="auto"/>
        <w:ind w:left="540" w:hanging="271"/>
      </w:pPr>
      <w:r>
        <w:rPr>
          <w:rFonts w:ascii="Calibri" w:hAnsi="Calibri"/>
          <w:sz w:val="22"/>
        </w:rPr>
        <w:t>No MassTransit or messaging framework.</w:t>
      </w:r>
    </w:p>
    <w:p>
      <w:pPr>
        <w:pStyle w:val="ListBullet"/>
        <w:spacing w:after="80" w:line="300" w:lineRule="auto"/>
        <w:ind w:left="540" w:hanging="271"/>
      </w:pPr>
      <w:r>
        <w:rPr>
          <w:rFonts w:ascii="Calibri" w:hAnsi="Calibri"/>
          <w:sz w:val="22"/>
        </w:rPr>
        <w:t>No payment, ticketing, invoice, or admin module behavior.</w:t>
      </w:r>
    </w:p>
    <w:p>
      <w:pPr>
        <w:pStyle w:val="ListBullet"/>
        <w:spacing w:after="80" w:line="300" w:lineRule="auto"/>
        <w:ind w:left="540" w:hanging="271"/>
      </w:pPr>
      <w:r>
        <w:rPr>
          <w:rFonts w:ascii="Calibri" w:hAnsi="Calibri"/>
          <w:sz w:val="22"/>
        </w:rPr>
        <w:t>No outbox table yet; this comes later when we discuss reliable messaging.</w:t>
      </w:r>
    </w:p>
    <w:p>
      <w:pPr>
        <w:pStyle w:val="ListBullet"/>
        <w:spacing w:after="80" w:line="300" w:lineRule="auto"/>
        <w:ind w:left="540" w:hanging="271"/>
      </w:pPr>
      <w:r>
        <w:rPr>
          <w:rFonts w:ascii="Calibri" w:hAnsi="Calibri"/>
          <w:sz w:val="22"/>
        </w:rPr>
        <w:t>No generic enterprise event bus with many layers.</w:t>
      </w:r>
    </w:p>
    <w:p>
      <w:pPr>
        <w:pStyle w:val="ListBullet"/>
        <w:spacing w:after="80" w:line="300" w:lineRule="auto"/>
        <w:ind w:left="540" w:hanging="271"/>
      </w:pPr>
      <w:r>
        <w:rPr>
          <w:rFonts w:ascii="Calibri" w:hAnsi="Calibri"/>
          <w:sz w:val="22"/>
        </w:rPr>
        <w:t>No worker ACK/NACK code in Step 2 unless you explicitly decide to combine Step 2 and Step 3.</w:t>
      </w:r>
    </w:p>
    <w:p>
      <w:pPr>
        <w:pStyle w:val="Heading1"/>
      </w:pPr>
      <w:r>
        <w:rPr>
          <w:rFonts w:ascii="Calibri" w:hAnsi="Calibri"/>
          <w:color w:val="2E74B5"/>
          <w:sz w:val="32"/>
        </w:rPr>
        <w:t>10. Step 3 preview: worker consume side</w:t>
      </w:r>
    </w:p>
    <w:p>
      <w:pPr>
        <w:spacing w:after="120" w:line="300" w:lineRule="auto"/>
      </w:pPr>
      <w:r>
        <w:rPr>
          <w:rFonts w:ascii="Calibri" w:hAnsi="Calibri"/>
          <w:sz w:val="22"/>
        </w:rPr>
        <w:t>The next step completes Phase 1 by binding notification-booking-created.queue to booking.created, consuming with AsyncEventingBasicConsumer, logging the fake email, ACKing on success, and NACKing with requeue false on failure.</w:t>
      </w:r>
    </w:p>
    <w:p>
      <w:r>
        <w:drawing>
          <wp:inline xmlns:a="http://schemas.openxmlformats.org/drawingml/2006/main" xmlns:pic="http://schemas.openxmlformats.org/drawingml/2006/picture">
            <wp:extent cx="5897880" cy="2713025"/>
            <wp:docPr id="4" name="Picture 4"/>
            <wp:cNvGraphicFramePr>
              <a:graphicFrameLocks noChangeAspect="1"/>
            </wp:cNvGraphicFramePr>
            <a:graphic>
              <a:graphicData uri="http://schemas.openxmlformats.org/drawingml/2006/picture">
                <pic:pic>
                  <pic:nvPicPr>
                    <pic:cNvPr id="0" name="consume-flow.png"/>
                    <pic:cNvPicPr/>
                  </pic:nvPicPr>
                  <pic:blipFill>
                    <a:blip r:embed="rId12"/>
                    <a:stretch>
                      <a:fillRect/>
                    </a:stretch>
                  </pic:blipFill>
                  <pic:spPr>
                    <a:xfrm>
                      <a:off x="0" y="0"/>
                      <a:ext cx="5897880" cy="2713025"/>
                    </a:xfrm>
                    <a:prstGeom prst="rect"/>
                  </pic:spPr>
                </pic:pic>
              </a:graphicData>
            </a:graphic>
          </wp:inline>
        </w:drawing>
      </w:r>
    </w:p>
    <w:p>
      <w:pPr>
        <w:pStyle w:val="Heading1"/>
      </w:pPr>
      <w:r>
        <w:rPr>
          <w:rFonts w:ascii="Calibri" w:hAnsi="Calibri"/>
          <w:color w:val="2E74B5"/>
          <w:sz w:val="32"/>
        </w:rPr>
        <w:t>11. Testing checklist for Step 2</w:t>
      </w:r>
    </w:p>
    <w:p>
      <w:pPr>
        <w:pStyle w:val="ListBullet"/>
        <w:spacing w:after="80" w:line="300" w:lineRule="auto"/>
        <w:ind w:left="540" w:hanging="271"/>
      </w:pPr>
      <w:r>
        <w:rPr>
          <w:rFonts w:ascii="Calibri" w:hAnsi="Calibri"/>
          <w:sz w:val="22"/>
        </w:rPr>
        <w:t>docker compose ps shows RabbitMQ running on ports 5672 and 15672.</w:t>
      </w:r>
    </w:p>
    <w:p>
      <w:pPr>
        <w:pStyle w:val="ListBullet"/>
        <w:spacing w:after="80" w:line="300" w:lineRule="auto"/>
        <w:ind w:left="540" w:hanging="271"/>
      </w:pPr>
      <w:r>
        <w:rPr>
          <w:rFonts w:ascii="Calibri" w:hAnsi="Calibri"/>
          <w:sz w:val="22"/>
        </w:rPr>
        <w:t>Swagger UI can create a booking with POST /bookings.</w:t>
      </w:r>
    </w:p>
    <w:p>
      <w:pPr>
        <w:pStyle w:val="ListBullet"/>
        <w:spacing w:after="80" w:line="300" w:lineRule="auto"/>
        <w:ind w:left="540" w:hanging="271"/>
      </w:pPr>
      <w:r>
        <w:rPr>
          <w:rFonts w:ascii="Calibri" w:hAnsi="Calibri"/>
          <w:sz w:val="22"/>
        </w:rPr>
        <w:t>Booking still appears with GET /bookings/{id}.</w:t>
      </w:r>
    </w:p>
    <w:p>
      <w:pPr>
        <w:pStyle w:val="ListBullet"/>
        <w:spacing w:after="80" w:line="300" w:lineRule="auto"/>
        <w:ind w:left="540" w:hanging="271"/>
      </w:pPr>
      <w:r>
        <w:rPr>
          <w:rFonts w:ascii="Calibri" w:hAnsi="Calibri"/>
          <w:sz w:val="22"/>
        </w:rPr>
        <w:t>The API logs should clearly say when a BookingCreated event was published.</w:t>
      </w:r>
    </w:p>
    <w:p>
      <w:pPr>
        <w:pStyle w:val="ListBullet"/>
        <w:spacing w:after="80" w:line="300" w:lineRule="auto"/>
        <w:ind w:left="540" w:hanging="271"/>
      </w:pPr>
      <w:r>
        <w:rPr>
          <w:rFonts w:ascii="Calibri" w:hAnsi="Calibri"/>
          <w:sz w:val="22"/>
        </w:rPr>
        <w:t>RabbitMQ Management should show the operahouse.events exchange after the publish path runs.</w:t>
      </w:r>
    </w:p>
    <w:p>
      <w:pPr>
        <w:pStyle w:val="ListBullet"/>
        <w:spacing w:after="80" w:line="300" w:lineRule="auto"/>
        <w:ind w:left="540" w:hanging="271"/>
      </w:pPr>
      <w:r>
        <w:rPr>
          <w:rFonts w:ascii="Calibri" w:hAnsi="Calibri"/>
          <w:sz w:val="22"/>
        </w:rPr>
        <w:t>If no queue is bound yet, RabbitMQ may route the message to no consumer. That is expected until Step 3 unless we create a temporary test queue.</w:t>
      </w:r>
    </w:p>
    <w:tbl>
      <w:tblPr>
        <w:tblW w:type="auto" w:w="0"/>
        <w:jc w:val="center"/>
        <w:tblLook w:firstColumn="1" w:firstRow="1" w:lastColumn="0" w:lastRow="0" w:noHBand="0" w:noVBand="1" w:val="04A0"/>
      </w:tblPr>
      <w:tblGrid>
        <w:gridCol w:w="9144"/>
      </w:tblGrid>
      <w:tr>
        <w:tc>
          <w:tcPr>
            <w:tcW w:type="dxa" w:w="9360"/>
            <w:shd w:fill="EAF7EA"/>
            <w:tcBorders>
              <w:top w:val="single" w:sz="6" w:space="0" w:color="CCD6E0"/>
              <w:left w:val="single" w:sz="6" w:space="0" w:color="CCD6E0"/>
              <w:bottom w:val="single" w:sz="6" w:space="0" w:color="CCD6E0"/>
              <w:right w:val="single" w:sz="6" w:space="0" w:color="CCD6E0"/>
            </w:tcBorders>
          </w:tcPr>
          <w:p>
            <w:pPr>
              <w:spacing w:after="60"/>
            </w:pPr>
            <w:r>
              <w:rPr>
                <w:rFonts w:ascii="Calibri" w:hAnsi="Calibri"/>
                <w:b/>
                <w:color w:val="1F4D78"/>
                <w:sz w:val="21"/>
              </w:rPr>
              <w:t>Recommended next coding move</w:t>
            </w:r>
          </w:p>
          <w:p>
            <w:pPr>
              <w:spacing w:after="40" w:line="276" w:lineRule="auto"/>
            </w:pPr>
            <w:r>
              <w:rPr>
                <w:rFonts w:ascii="Calibri" w:hAnsi="Calibri"/>
                <w:sz w:val="20"/>
              </w:rPr>
              <w:t>Implement Step 2 as publish-only first. Once that is clear and working, implement the worker in Step 3. This keeps the learning loop tight: first understand publish, then understand consume/ack/nack.</w:t>
            </w:r>
          </w:p>
        </w:tc>
      </w:tr>
    </w:tbl>
    <w:p>
      <w:pPr>
        <w:spacing w:after="40"/>
      </w:pPr>
    </w:p>
    <w:sectPr w:rsidR="00FC693F" w:rsidRPr="0006063C" w:rsidSect="00034616">
      <w:footerReference w:type="default" r:id="rId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5A5A"/>
        <w:sz w:val="16"/>
      </w:rPr>
      <w:t>OperaHouse RabbitMQ learning project - Step 2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