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Calibri" w:hAnsi="Calibri"/>
          <w:b/>
          <w:i w:val="0"/>
          <w:color w:val="9A6700"/>
          <w:sz w:val="22"/>
        </w:rPr>
        <w:t>OPERA HOUSE</w:t>
      </w:r>
    </w:p>
    <w:p>
      <w:pPr>
        <w:pStyle w:val="Title"/>
        <w:jc w:val="center"/>
      </w:pPr>
      <w:r>
        <w:t>Phase 1 Architecture Design</w:t>
      </w:r>
    </w:p>
    <w:p>
      <w:pPr>
        <w:pStyle w:val="Subtitle"/>
        <w:jc w:val="center"/>
      </w:pPr>
      <w:r>
        <w:t>A learning-first RabbitMQ ticket-booking platform on .NET 10</w:t>
      </w:r>
    </w:p>
    <w:p>
      <w:pPr>
        <w:jc w:val="center"/>
      </w:pPr>
      <w:r>
        <w:drawing>
          <wp:inline xmlns:a="http://schemas.openxmlformats.org/drawingml/2006/main" xmlns:pic="http://schemas.openxmlformats.org/drawingml/2006/picture">
            <wp:extent cx="5760720" cy="2841955"/>
            <wp:docPr id="1" name="Picture 1" descr="Phase 1 runtime flow from HTTP client through the Booking API to PostgreSQL and RabbitMQ, then to the notification worker." title="Phase 1 runtime flow from HTTP client through the Booking API to PostgreSQL and RabbitMQ, then to the notification worker."/>
            <wp:cNvGraphicFramePr>
              <a:graphicFrameLocks noChangeAspect="1"/>
            </wp:cNvGraphicFramePr>
            <a:graphic>
              <a:graphicData uri="http://schemas.openxmlformats.org/drawingml/2006/picture">
                <pic:pic>
                  <pic:nvPicPr>
                    <pic:cNvPr id="0" name="system-flow.png"/>
                    <pic:cNvPicPr/>
                  </pic:nvPicPr>
                  <pic:blipFill>
                    <a:blip r:embed="rId11"/>
                    <a:stretch>
                      <a:fillRect/>
                    </a:stretch>
                  </pic:blipFill>
                  <pic:spPr>
                    <a:xfrm>
                      <a:off x="0" y="0"/>
                      <a:ext cx="5760720" cy="2841955"/>
                    </a:xfrm>
                    <a:prstGeom prst="rect"/>
                  </pic:spPr>
                </pic:pic>
              </a:graphicData>
            </a:graphic>
          </wp:inline>
        </w:drawing>
      </w:r>
    </w:p>
    <w:p>
      <w:pPr>
        <w:spacing w:before="120" w:after="160" w:line="276" w:lineRule="auto"/>
        <w:ind w:left="173" w:right="173"/>
        <w:shd w:fill="F4F6F9"/>
        <w:pBdr>
          <w:left w:val="single" w:sz="18" w:space="8" w:color="2E7D5B"/>
        </w:pBdr>
      </w:pPr>
      <w:r>
        <w:rPr>
          <w:rFonts w:ascii="Calibri" w:hAnsi="Calibri"/>
          <w:b/>
          <w:i w:val="0"/>
          <w:color w:val="2E7D5B"/>
          <w:sz w:val="21"/>
        </w:rPr>
        <w:t xml:space="preserve">Design intent  </w:t>
      </w:r>
      <w:r>
        <w:rPr>
          <w:rFonts w:ascii="Calibri" w:hAnsi="Calibri"/>
          <w:b w:val="0"/>
          <w:i w:val="0"/>
          <w:color w:val="20242A"/>
          <w:sz w:val="20"/>
        </w:rPr>
        <w:t>Keep business logic out of controllers, make RabbitMQ mechanics visible, and introduce abstractions only where they clarify a real boundary.</w:t>
      </w:r>
    </w:p>
    <w:p>
      <w:pPr>
        <w:spacing w:before="240"/>
        <w:jc w:val="center"/>
      </w:pPr>
      <w:r>
        <w:rPr>
          <w:rFonts w:ascii="Calibri" w:hAnsi="Calibri"/>
          <w:b w:val="0"/>
          <w:i/>
          <w:color w:val="5E6A75"/>
          <w:sz w:val="19"/>
        </w:rPr>
        <w:t>Scope: booking.created publication and notification consumption only</w:t>
      </w:r>
    </w:p>
    <w:p>
      <w:r>
        <w:br w:type="page"/>
      </w:r>
    </w:p>
    <w:p>
      <w:pPr>
        <w:pStyle w:val="Heading1"/>
      </w:pPr>
      <w:r>
        <w:t>1. Design goals and boundaries</w:t>
      </w:r>
    </w:p>
    <w:p>
      <w:r>
        <w:rPr>
          <w:rFonts w:ascii="Calibri" w:hAnsi="Calibri"/>
          <w:b w:val="0"/>
          <w:i w:val="0"/>
          <w:color w:val="20242A"/>
          <w:sz w:val="21"/>
        </w:rPr>
        <w:t>OperaHouse is intentionally small in Phase 1. The design separates HTTP concerns, application logic, persistence, integration contracts, and RabbitMQ transport while keeping each part easy to trace in a debugger.</w:t>
      </w:r>
    </w:p>
    <w:p>
      <w:pPr>
        <w:pStyle w:val="Heading2"/>
      </w:pPr>
      <w:r>
        <w:t>Guiding principles</w:t>
      </w:r>
    </w:p>
    <w:p>
      <w:pPr>
        <w:pStyle w:val="ListBullet"/>
        <w:spacing w:after="80" w:line="300" w:lineRule="auto"/>
        <w:ind w:left="540" w:hanging="271"/>
      </w:pPr>
      <w:r>
        <w:rPr>
          <w:rFonts w:ascii="Calibri" w:hAnsi="Calibri"/>
          <w:b w:val="0"/>
          <w:i w:val="0"/>
          <w:color w:val="20242A"/>
          <w:sz w:val="21"/>
        </w:rPr>
        <w:t>Thin controllers: map HTTP requests and responses, then delegate work.</w:t>
      </w:r>
    </w:p>
    <w:p>
      <w:pPr>
        <w:pStyle w:val="ListBullet"/>
        <w:spacing w:after="80" w:line="300" w:lineRule="auto"/>
        <w:ind w:left="540" w:hanging="271"/>
      </w:pPr>
      <w:r>
        <w:rPr>
          <w:rFonts w:ascii="Calibri" w:hAnsi="Calibri"/>
          <w:b w:val="0"/>
          <w:i w:val="0"/>
          <w:color w:val="20242A"/>
          <w:sz w:val="21"/>
        </w:rPr>
        <w:t>Application services own use-case logic and orchestration.</w:t>
      </w:r>
    </w:p>
    <w:p>
      <w:pPr>
        <w:pStyle w:val="ListBullet"/>
        <w:spacing w:after="80" w:line="300" w:lineRule="auto"/>
        <w:ind w:left="540" w:hanging="271"/>
      </w:pPr>
      <w:r>
        <w:rPr>
          <w:rFonts w:ascii="Calibri" w:hAnsi="Calibri"/>
          <w:b w:val="0"/>
          <w:i w:val="0"/>
          <w:color w:val="20242A"/>
          <w:sz w:val="21"/>
        </w:rPr>
        <w:t>EF Core DbContext is the persistence abstraction; do not add a repository layer until it provides real value.</w:t>
      </w:r>
    </w:p>
    <w:p>
      <w:pPr>
        <w:pStyle w:val="ListBullet"/>
        <w:spacing w:after="80" w:line="300" w:lineRule="auto"/>
        <w:ind w:left="540" w:hanging="271"/>
      </w:pPr>
      <w:r>
        <w:rPr>
          <w:rFonts w:ascii="Calibri" w:hAnsi="Calibri"/>
          <w:b w:val="0"/>
          <w:i w:val="0"/>
          <w:color w:val="20242A"/>
          <w:sz w:val="21"/>
        </w:rPr>
        <w:t>Integration events are independent from API DTOs and database entities.</w:t>
      </w:r>
    </w:p>
    <w:p>
      <w:pPr>
        <w:pStyle w:val="ListBullet"/>
        <w:spacing w:after="80" w:line="300" w:lineRule="auto"/>
        <w:ind w:left="540" w:hanging="271"/>
      </w:pPr>
      <w:r>
        <w:rPr>
          <w:rFonts w:ascii="Calibri" w:hAnsi="Calibri"/>
          <w:b w:val="0"/>
          <w:i w:val="0"/>
          <w:color w:val="20242A"/>
          <w:sz w:val="21"/>
        </w:rPr>
        <w:t>RabbitMQ code stays explicit enough to teach exchanges, queues, bindings, publishing, consuming, ACK, and NACK.</w:t>
      </w:r>
    </w:p>
    <w:p>
      <w:pPr>
        <w:pStyle w:val="ListBullet"/>
        <w:spacing w:after="80" w:line="300" w:lineRule="auto"/>
        <w:ind w:left="540" w:hanging="271"/>
      </w:pPr>
      <w:r>
        <w:rPr>
          <w:rFonts w:ascii="Calibri" w:hAnsi="Calibri"/>
          <w:b w:val="0"/>
          <w:i w:val="0"/>
          <w:color w:val="20242A"/>
          <w:sz w:val="21"/>
        </w:rPr>
        <w:t>Interfaces are used at meaningful boundaries, not around every class.</w:t>
      </w:r>
    </w:p>
    <w:p>
      <w:pPr>
        <w:pStyle w:val="Heading2"/>
      </w:pPr>
      <w:r>
        <w:t>Phase 1 scope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Included</w:t>
            </w:r>
          </w:p>
        </w:tc>
        <w:tc>
          <w:tcPr>
            <w:tcW w:type="dxa" w:w="468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Deferred</w:t>
            </w:r>
          </w:p>
        </w:tc>
      </w:tr>
      <w:tr>
        <w:tc>
          <w:tcPr>
            <w:tcW w:type="dxa" w:w="4680"/>
            <w:tcMar>
              <w:top w:w="80" w:type="dxa"/>
              <w:start w:w="120" w:type="dxa"/>
              <w:bottom w:w="80" w:type="dxa"/>
              <w:end w:w="120" w:type="dxa"/>
            </w:tcMar>
            <w:vAlign w:val="center"/>
          </w:tcPr>
          <w:p>
            <w:pPr>
              <w:spacing w:after="0" w:line="264" w:lineRule="auto"/>
            </w:pPr>
            <w:r/>
            <w:r>
              <w:rPr>
                <w:rFonts w:ascii="Calibri" w:hAnsi="Calibri"/>
                <w:b w:val="0"/>
                <w:i w:val="0"/>
                <w:color w:val="20242A"/>
                <w:sz w:val="19"/>
              </w:rPr>
              <w:t>Performance reads</w:t>
            </w:r>
          </w:p>
        </w:tc>
        <w:tc>
          <w:tcPr>
            <w:tcW w:type="dxa" w:w="4680"/>
            <w:tcMar>
              <w:top w:w="80" w:type="dxa"/>
              <w:start w:w="120" w:type="dxa"/>
              <w:bottom w:w="80" w:type="dxa"/>
              <w:end w:w="120" w:type="dxa"/>
            </w:tcMar>
            <w:vAlign w:val="center"/>
          </w:tcPr>
          <w:p>
            <w:pPr>
              <w:spacing w:after="0" w:line="264" w:lineRule="auto"/>
            </w:pPr>
            <w:r/>
            <w:r>
              <w:rPr>
                <w:rFonts w:ascii="Calibri" w:hAnsi="Calibri"/>
                <w:b w:val="0"/>
                <w:i w:val="0"/>
                <w:color w:val="20242A"/>
                <w:sz w:val="19"/>
              </w:rPr>
              <w:t>Ticket issuance</w:t>
            </w:r>
          </w:p>
        </w:tc>
      </w:tr>
      <w:tr>
        <w:tc>
          <w:tcPr>
            <w:tcW w:type="dxa" w:w="468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 creation and lookup</w:t>
            </w:r>
          </w:p>
        </w:tc>
        <w:tc>
          <w:tcPr>
            <w:tcW w:type="dxa" w:w="4680"/>
            <w:tcMar>
              <w:top w:w="80" w:type="dxa"/>
              <w:start w:w="120" w:type="dxa"/>
              <w:bottom w:w="80" w:type="dxa"/>
              <w:end w:w="120" w:type="dxa"/>
            </w:tcMar>
            <w:vAlign w:val="center"/>
          </w:tcPr>
          <w:p>
            <w:pPr>
              <w:spacing w:after="0" w:line="264" w:lineRule="auto"/>
            </w:pPr>
            <w:r/>
            <w:r>
              <w:rPr>
                <w:rFonts w:ascii="Calibri" w:hAnsi="Calibri"/>
                <w:b w:val="0"/>
                <w:i w:val="0"/>
                <w:color w:val="20242A"/>
                <w:sz w:val="19"/>
              </w:rPr>
              <w:t>Payments</w:t>
            </w:r>
          </w:p>
        </w:tc>
      </w:tr>
      <w:tr>
        <w:tc>
          <w:tcPr>
            <w:tcW w:type="dxa" w:w="468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booking.created publication</w:t>
            </w:r>
          </w:p>
        </w:tc>
        <w:tc>
          <w:tcPr>
            <w:tcW w:type="dxa" w:w="4680"/>
            <w:tcMar>
              <w:top w:w="80" w:type="dxa"/>
              <w:start w:w="120" w:type="dxa"/>
              <w:bottom w:w="80" w:type="dxa"/>
              <w:end w:w="120" w:type="dxa"/>
            </w:tcMar>
            <w:vAlign w:val="center"/>
          </w:tcPr>
          <w:p>
            <w:pPr>
              <w:spacing w:after="0" w:line="264" w:lineRule="auto"/>
            </w:pPr>
            <w:r/>
            <w:r>
              <w:rPr>
                <w:rFonts w:ascii="Calibri" w:hAnsi="Calibri"/>
                <w:b w:val="0"/>
                <w:i w:val="0"/>
                <w:color w:val="20242A"/>
                <w:sz w:val="19"/>
              </w:rPr>
              <w:t>Invoices</w:t>
            </w:r>
          </w:p>
        </w:tc>
      </w:tr>
      <w:tr>
        <w:tc>
          <w:tcPr>
            <w:tcW w:type="dxa" w:w="4680"/>
            <w:tcMar>
              <w:top w:w="80" w:type="dxa"/>
              <w:start w:w="120" w:type="dxa"/>
              <w:bottom w:w="80" w:type="dxa"/>
              <w:end w:w="120" w:type="dxa"/>
            </w:tcMar>
            <w:vAlign w:val="center"/>
          </w:tcPr>
          <w:p>
            <w:pPr>
              <w:spacing w:after="0" w:line="264" w:lineRule="auto"/>
            </w:pPr>
            <w:r/>
            <w:r>
              <w:rPr>
                <w:rFonts w:ascii="Calibri" w:hAnsi="Calibri"/>
                <w:b w:val="0"/>
                <w:i w:val="0"/>
                <w:color w:val="20242A"/>
                <w:sz w:val="19"/>
              </w:rPr>
              <w:t>Notification worker and fake email log</w:t>
            </w:r>
          </w:p>
        </w:tc>
        <w:tc>
          <w:tcPr>
            <w:tcW w:type="dxa" w:w="4680"/>
            <w:tcMar>
              <w:top w:w="80" w:type="dxa"/>
              <w:start w:w="120" w:type="dxa"/>
              <w:bottom w:w="80" w:type="dxa"/>
              <w:end w:w="120" w:type="dxa"/>
            </w:tcMar>
            <w:vAlign w:val="center"/>
          </w:tcPr>
          <w:p>
            <w:pPr>
              <w:spacing w:after="0" w:line="264" w:lineRule="auto"/>
            </w:pPr>
            <w:r/>
            <w:r>
              <w:rPr>
                <w:rFonts w:ascii="Calibri" w:hAnsi="Calibri"/>
                <w:b w:val="0"/>
                <w:i w:val="0"/>
                <w:color w:val="20242A"/>
                <w:sz w:val="19"/>
              </w:rPr>
              <w:t>Dead-letter and retry policies</w:t>
            </w:r>
          </w:p>
        </w:tc>
      </w:tr>
    </w:tbl>
    <w:p>
      <w:pPr>
        <w:spacing w:after="0"/>
      </w:pPr>
    </w:p>
    <w:p>
      <w:pPr>
        <w:spacing w:before="120" w:after="160" w:line="276" w:lineRule="auto"/>
        <w:ind w:left="173" w:right="173"/>
        <w:shd w:fill="F4F6F9"/>
        <w:pBdr>
          <w:left w:val="single" w:sz="18" w:space="8" w:color="2E74B5"/>
        </w:pBdr>
      </w:pPr>
      <w:r>
        <w:rPr>
          <w:rFonts w:ascii="Calibri" w:hAnsi="Calibri"/>
          <w:b/>
          <w:i w:val="0"/>
          <w:color w:val="2E74B5"/>
          <w:sz w:val="21"/>
        </w:rPr>
        <w:t xml:space="preserve">Deliberate learning constraint  </w:t>
      </w:r>
      <w:r>
        <w:rPr>
          <w:rFonts w:ascii="Calibri" w:hAnsi="Calibri"/>
          <w:b w:val="0"/>
          <w:i w:val="0"/>
          <w:color w:val="20242A"/>
          <w:sz w:val="20"/>
        </w:rPr>
        <w:t>MassTransit is not used. RabbitMQ.Client 7.x is called directly so broker concepts remain observable.</w:t>
      </w:r>
    </w:p>
    <w:p>
      <w:pPr>
        <w:pStyle w:val="Heading1"/>
      </w:pPr>
      <w:r>
        <w:t>2. Solution map</w:t>
      </w:r>
    </w:p>
    <w:tbl>
      <w:tblPr>
        <w:tblStyle w:val="TableGrid"/>
        <w:tblW w:type="dxa" w:w="9360"/>
        <w:jc w:val="left"/>
        <w:tblLayout w:type="fixed"/>
        <w:tblLook w:firstColumn="1" w:firstRow="1" w:lastColumn="0" w:lastRow="0" w:noHBand="0" w:noVBand="1" w:val="04A0"/>
        <w:tblInd w:w="120" w:type="dxa"/>
      </w:tblPr>
      <w:tblGrid>
        <w:gridCol w:w="2400"/>
        <w:gridCol w:w="2600"/>
        <w:gridCol w:w="4360"/>
      </w:tblGrid>
      <w:tr>
        <w:trPr>
          <w:tblHeader w:val="true"/>
        </w:trPr>
        <w:tc>
          <w:tcPr>
            <w:tcW w:type="dxa" w:w="24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Project</w:t>
            </w:r>
          </w:p>
        </w:tc>
        <w:tc>
          <w:tcPr>
            <w:tcW w:type="dxa" w:w="26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Role</w:t>
            </w:r>
          </w:p>
        </w:tc>
        <w:tc>
          <w:tcPr>
            <w:tcW w:type="dxa" w:w="43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Owns</w:t>
            </w:r>
          </w:p>
        </w:tc>
      </w:tr>
      <w:tr>
        <w:tc>
          <w:tcPr>
            <w:tcW w:type="dxa" w:w="2400"/>
            <w:tcMar>
              <w:top w:w="80" w:type="dxa"/>
              <w:start w:w="120" w:type="dxa"/>
              <w:bottom w:w="80" w:type="dxa"/>
              <w:end w:w="120" w:type="dxa"/>
            </w:tcMar>
            <w:vAlign w:val="center"/>
          </w:tcPr>
          <w:p>
            <w:pPr>
              <w:spacing w:after="0" w:line="264" w:lineRule="auto"/>
            </w:pPr>
            <w:r/>
            <w:r>
              <w:rPr>
                <w:rFonts w:ascii="Calibri" w:hAnsi="Calibri"/>
                <w:b w:val="0"/>
                <w:i w:val="0"/>
                <w:color w:val="20242A"/>
                <w:sz w:val="19"/>
              </w:rPr>
              <w:t>OperaHouse.Booking.Api</w:t>
            </w:r>
          </w:p>
        </w:tc>
        <w:tc>
          <w:tcPr>
            <w:tcW w:type="dxa" w:w="2600"/>
            <w:tcMar>
              <w:top w:w="80" w:type="dxa"/>
              <w:start w:w="120" w:type="dxa"/>
              <w:bottom w:w="80" w:type="dxa"/>
              <w:end w:w="120" w:type="dxa"/>
            </w:tcMar>
            <w:vAlign w:val="center"/>
          </w:tcPr>
          <w:p>
            <w:pPr>
              <w:spacing w:after="0" w:line="264" w:lineRule="auto"/>
            </w:pPr>
            <w:r/>
            <w:r>
              <w:rPr>
                <w:rFonts w:ascii="Calibri" w:hAnsi="Calibri"/>
                <w:b w:val="0"/>
                <w:i w:val="0"/>
                <w:color w:val="20242A"/>
                <w:sz w:val="19"/>
              </w:rPr>
              <w:t>HTTP application</w:t>
            </w:r>
          </w:p>
        </w:tc>
        <w:tc>
          <w:tcPr>
            <w:tcW w:type="dxa" w:w="4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Bookings, performances, use cases, database</w:t>
            </w:r>
          </w:p>
        </w:tc>
      </w:tr>
      <w:tr>
        <w:tc>
          <w:tcPr>
            <w:tcW w:type="dxa" w:w="2400"/>
            <w:tcMar>
              <w:top w:w="80" w:type="dxa"/>
              <w:start w:w="120" w:type="dxa"/>
              <w:bottom w:w="80" w:type="dxa"/>
              <w:end w:w="120" w:type="dxa"/>
            </w:tcMar>
            <w:vAlign w:val="center"/>
          </w:tcPr>
          <w:p>
            <w:pPr>
              <w:spacing w:after="0" w:line="264" w:lineRule="auto"/>
            </w:pPr>
            <w:r/>
            <w:r>
              <w:rPr>
                <w:rFonts w:ascii="Calibri" w:hAnsi="Calibri"/>
                <w:b w:val="0"/>
                <w:i w:val="0"/>
                <w:color w:val="20242A"/>
                <w:sz w:val="19"/>
              </w:rPr>
              <w:t>OperaHouse.Notification.Worker</w:t>
            </w:r>
          </w:p>
        </w:tc>
        <w:tc>
          <w:tcPr>
            <w:tcW w:type="dxa" w:w="26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Background consumer</w:t>
            </w:r>
          </w:p>
        </w:tc>
        <w:tc>
          <w:tcPr>
            <w:tcW w:type="dxa" w:w="4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Notification processing and delivery acknowledgement</w:t>
            </w:r>
          </w:p>
        </w:tc>
      </w:tr>
      <w:tr>
        <w:tc>
          <w:tcPr>
            <w:tcW w:type="dxa" w:w="2400"/>
            <w:tcMar>
              <w:top w:w="80" w:type="dxa"/>
              <w:start w:w="120" w:type="dxa"/>
              <w:bottom w:w="80" w:type="dxa"/>
              <w:end w:w="120" w:type="dxa"/>
            </w:tcMar>
            <w:vAlign w:val="center"/>
          </w:tcPr>
          <w:p>
            <w:pPr>
              <w:spacing w:after="0" w:line="264" w:lineRule="auto"/>
            </w:pPr>
            <w:r/>
            <w:r>
              <w:rPr>
                <w:rFonts w:ascii="Calibri" w:hAnsi="Calibri"/>
                <w:b w:val="0"/>
                <w:i w:val="0"/>
                <w:color w:val="20242A"/>
                <w:sz w:val="19"/>
              </w:rPr>
              <w:t>OperaHouse.Contracts</w:t>
            </w:r>
          </w:p>
        </w:tc>
        <w:tc>
          <w:tcPr>
            <w:tcW w:type="dxa" w:w="2600"/>
            <w:tcMar>
              <w:top w:w="80" w:type="dxa"/>
              <w:start w:w="120" w:type="dxa"/>
              <w:bottom w:w="80" w:type="dxa"/>
              <w:end w:w="120" w:type="dxa"/>
            </w:tcMar>
            <w:vAlign w:val="center"/>
          </w:tcPr>
          <w:p>
            <w:pPr>
              <w:spacing w:after="0" w:line="264" w:lineRule="auto"/>
            </w:pPr>
            <w:r/>
            <w:r>
              <w:rPr>
                <w:rFonts w:ascii="Calibri" w:hAnsi="Calibri"/>
                <w:b w:val="0"/>
                <w:i w:val="0"/>
                <w:color w:val="20242A"/>
                <w:sz w:val="19"/>
              </w:rPr>
              <w:t>Shared integration schema</w:t>
            </w:r>
          </w:p>
        </w:tc>
        <w:tc>
          <w:tcPr>
            <w:tcW w:type="dxa" w:w="4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BookingCreated event</w:t>
            </w:r>
          </w:p>
        </w:tc>
      </w:tr>
      <w:tr>
        <w:tc>
          <w:tcPr>
            <w:tcW w:type="dxa" w:w="2400"/>
            <w:tcMar>
              <w:top w:w="80" w:type="dxa"/>
              <w:start w:w="120" w:type="dxa"/>
              <w:bottom w:w="80" w:type="dxa"/>
              <w:end w:w="120" w:type="dxa"/>
            </w:tcMar>
            <w:vAlign w:val="center"/>
          </w:tcPr>
          <w:p>
            <w:pPr>
              <w:spacing w:after="0" w:line="264" w:lineRule="auto"/>
            </w:pPr>
            <w:r/>
            <w:r>
              <w:rPr>
                <w:rFonts w:ascii="Calibri" w:hAnsi="Calibri"/>
                <w:b w:val="0"/>
                <w:i w:val="0"/>
                <w:color w:val="20242A"/>
                <w:sz w:val="19"/>
              </w:rPr>
              <w:t>OperaHouse.Messaging</w:t>
            </w:r>
          </w:p>
        </w:tc>
        <w:tc>
          <w:tcPr>
            <w:tcW w:type="dxa" w:w="2600"/>
            <w:tcMar>
              <w:top w:w="80" w:type="dxa"/>
              <w:start w:w="120" w:type="dxa"/>
              <w:bottom w:w="80" w:type="dxa"/>
              <w:end w:w="120" w:type="dxa"/>
            </w:tcMar>
            <w:vAlign w:val="center"/>
          </w:tcPr>
          <w:p>
            <w:pPr>
              <w:spacing w:after="0" w:line="264" w:lineRule="auto"/>
            </w:pPr>
            <w:r/>
            <w:r>
              <w:rPr>
                <w:rFonts w:ascii="Calibri" w:hAnsi="Calibri"/>
                <w:b w:val="0"/>
                <w:i w:val="0"/>
                <w:color w:val="20242A"/>
                <w:sz w:val="19"/>
              </w:rPr>
              <w:t>RabbitMQ transport</w:t>
            </w:r>
          </w:p>
        </w:tc>
        <w:tc>
          <w:tcPr>
            <w:tcW w:type="dxa" w:w="4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Connection options, topology names, publishing mechanics</w:t>
            </w:r>
          </w:p>
        </w:tc>
      </w:tr>
    </w:tbl>
    <w:p>
      <w:pPr>
        <w:spacing w:after="0"/>
      </w:pPr>
    </w:p>
    <w:p>
      <w:r>
        <w:br w:type="page"/>
      </w:r>
    </w:p>
    <w:p>
      <w:pPr>
        <w:pStyle w:val="Heading1"/>
      </w:pPr>
      <w:r>
        <w:t>3. Booking API architecture</w:t>
      </w:r>
    </w:p>
    <w:p>
      <w:pPr>
        <w:jc w:val="center"/>
      </w:pPr>
      <w:r>
        <w:drawing>
          <wp:inline xmlns:a="http://schemas.openxmlformats.org/drawingml/2006/main" xmlns:pic="http://schemas.openxmlformats.org/drawingml/2006/picture">
            <wp:extent cx="5897880" cy="2830982"/>
            <wp:docPr id="2" name="Picture 2" descr="Booking API layers showing a thin controller calling BookingService, which uses EF Core DbContext and a message publisher." title="Booking API layers showing a thin controller calling BookingService, which uses EF Core DbContext and a message publisher."/>
            <wp:cNvGraphicFramePr>
              <a:graphicFrameLocks noChangeAspect="1"/>
            </wp:cNvGraphicFramePr>
            <a:graphic>
              <a:graphicData uri="http://schemas.openxmlformats.org/drawingml/2006/picture">
                <pic:pic>
                  <pic:nvPicPr>
                    <pic:cNvPr id="0" name="api-layers.png"/>
                    <pic:cNvPicPr/>
                  </pic:nvPicPr>
                  <pic:blipFill>
                    <a:blip r:embed="rId12"/>
                    <a:stretch>
                      <a:fillRect/>
                    </a:stretch>
                  </pic:blipFill>
                  <pic:spPr>
                    <a:xfrm>
                      <a:off x="0" y="0"/>
                      <a:ext cx="5897880" cy="2830982"/>
                    </a:xfrm>
                    <a:prstGeom prst="rect"/>
                  </pic:spPr>
                </pic:pic>
              </a:graphicData>
            </a:graphic>
          </wp:inline>
        </w:drawing>
      </w:r>
    </w:p>
    <w:p>
      <w:r>
        <w:rPr>
          <w:rFonts w:ascii="Calibri" w:hAnsi="Calibri"/>
          <w:b w:val="0"/>
          <w:i w:val="0"/>
          <w:color w:val="20242A"/>
          <w:sz w:val="21"/>
        </w:rPr>
        <w:t>The service layer is the application boundary. Controllers know how to speak HTTP; services know how a booking use case works.</w:t>
      </w:r>
    </w:p>
    <w:p>
      <w:pPr>
        <w:pStyle w:val="Heading2"/>
      </w:pPr>
      <w:r>
        <w:t>Proposed folder structure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Folder</w:t>
            </w:r>
          </w:p>
        </w:tc>
        <w:tc>
          <w:tcPr>
            <w:tcW w:type="dxa" w:w="72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Purpose</w:t>
            </w:r>
          </w:p>
        </w:tc>
      </w:tr>
      <w:tr>
        <w:tc>
          <w:tcPr>
            <w:tcW w:type="dxa" w:w="2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Controllers</w:t>
            </w:r>
          </w:p>
        </w:tc>
        <w:tc>
          <w:tcPr>
            <w:tcW w:type="dxa" w:w="7260"/>
            <w:tcMar>
              <w:top w:w="80" w:type="dxa"/>
              <w:start w:w="120" w:type="dxa"/>
              <w:bottom w:w="80" w:type="dxa"/>
              <w:end w:w="120" w:type="dxa"/>
            </w:tcMar>
            <w:vAlign w:val="center"/>
          </w:tcPr>
          <w:p>
            <w:pPr>
              <w:spacing w:after="0" w:line="264" w:lineRule="auto"/>
            </w:pPr>
            <w:r/>
            <w:r>
              <w:rPr>
                <w:rFonts w:ascii="Calibri" w:hAnsi="Calibri"/>
                <w:b w:val="0"/>
                <w:i w:val="0"/>
                <w:color w:val="20242A"/>
                <w:sz w:val="19"/>
              </w:rPr>
              <w:t>Endpoints, request binding, response mapping, HTTP status codes</w:t>
            </w:r>
          </w:p>
        </w:tc>
      </w:tr>
      <w:tr>
        <w:tc>
          <w:tcPr>
            <w:tcW w:type="dxa" w:w="2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Services</w:t>
            </w:r>
          </w:p>
        </w:tc>
        <w:tc>
          <w:tcPr>
            <w:tcW w:type="dxa" w:w="726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 and performance use cases, validation, orchestration</w:t>
            </w:r>
          </w:p>
        </w:tc>
      </w:tr>
      <w:tr>
        <w:tc>
          <w:tcPr>
            <w:tcW w:type="dxa" w:w="2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Data</w:t>
            </w:r>
          </w:p>
        </w:tc>
        <w:tc>
          <w:tcPr>
            <w:tcW w:type="dxa" w:w="726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BookingDbContext and EF Core configuration</w:t>
            </w:r>
          </w:p>
        </w:tc>
      </w:tr>
      <w:tr>
        <w:tc>
          <w:tcPr>
            <w:tcW w:type="dxa" w:w="2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Entities</w:t>
            </w:r>
          </w:p>
        </w:tc>
        <w:tc>
          <w:tcPr>
            <w:tcW w:type="dxa" w:w="726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 and Performance persistence models</w:t>
            </w:r>
          </w:p>
        </w:tc>
      </w:tr>
      <w:tr>
        <w:tc>
          <w:tcPr>
            <w:tcW w:type="dxa" w:w="2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DTOs</w:t>
            </w:r>
          </w:p>
        </w:tc>
        <w:tc>
          <w:tcPr>
            <w:tcW w:type="dxa" w:w="7260"/>
            <w:tcMar>
              <w:top w:w="80" w:type="dxa"/>
              <w:start w:w="120" w:type="dxa"/>
              <w:bottom w:w="80" w:type="dxa"/>
              <w:end w:w="120" w:type="dxa"/>
            </w:tcMar>
            <w:vAlign w:val="center"/>
          </w:tcPr>
          <w:p>
            <w:pPr>
              <w:spacing w:after="0" w:line="264" w:lineRule="auto"/>
            </w:pPr>
            <w:r/>
            <w:r>
              <w:rPr>
                <w:rFonts w:ascii="Calibri" w:hAnsi="Calibri"/>
                <w:b w:val="0"/>
                <w:i w:val="0"/>
                <w:color w:val="20242A"/>
                <w:sz w:val="19"/>
              </w:rPr>
              <w:t>API requests and responses; never published directly</w:t>
            </w:r>
          </w:p>
        </w:tc>
      </w:tr>
      <w:tr>
        <w:tc>
          <w:tcPr>
            <w:tcW w:type="dxa" w:w="2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Configuration</w:t>
            </w:r>
          </w:p>
        </w:tc>
        <w:tc>
          <w:tcPr>
            <w:tcW w:type="dxa" w:w="7260"/>
            <w:tcMar>
              <w:top w:w="80" w:type="dxa"/>
              <w:start w:w="120" w:type="dxa"/>
              <w:bottom w:w="80" w:type="dxa"/>
              <w:end w:w="120" w:type="dxa"/>
            </w:tcMar>
            <w:vAlign w:val="center"/>
          </w:tcPr>
          <w:p>
            <w:pPr>
              <w:spacing w:after="0" w:line="264" w:lineRule="auto"/>
            </w:pPr>
            <w:r/>
            <w:r>
              <w:rPr>
                <w:rFonts w:ascii="Calibri" w:hAnsi="Calibri"/>
                <w:b w:val="0"/>
                <w:i w:val="0"/>
                <w:color w:val="20242A"/>
                <w:sz w:val="19"/>
              </w:rPr>
              <w:t>Options binding and application setup where useful</w:t>
            </w:r>
          </w:p>
        </w:tc>
      </w:tr>
    </w:tbl>
    <w:p>
      <w:pPr>
        <w:spacing w:after="0"/>
      </w:pPr>
    </w:p>
    <w:p>
      <w:pPr>
        <w:pStyle w:val="Heading2"/>
      </w:pPr>
      <w:r>
        <w:t>Controller responsibilities</w:t>
      </w:r>
    </w:p>
    <w:p>
      <w:pPr>
        <w:pStyle w:val="ListBullet"/>
        <w:spacing w:after="80" w:line="300" w:lineRule="auto"/>
        <w:ind w:left="540" w:hanging="271"/>
      </w:pPr>
      <w:r>
        <w:rPr>
          <w:rFonts w:ascii="Calibri" w:hAnsi="Calibri"/>
          <w:b w:val="0"/>
          <w:i w:val="0"/>
          <w:color w:val="20242A"/>
          <w:sz w:val="21"/>
        </w:rPr>
        <w:t>Accept and validate the HTTP shape of a request.</w:t>
      </w:r>
    </w:p>
    <w:p>
      <w:pPr>
        <w:pStyle w:val="ListBullet"/>
        <w:spacing w:after="80" w:line="300" w:lineRule="auto"/>
        <w:ind w:left="540" w:hanging="271"/>
      </w:pPr>
      <w:r>
        <w:rPr>
          <w:rFonts w:ascii="Calibri" w:hAnsi="Calibri"/>
          <w:b w:val="0"/>
          <w:i w:val="0"/>
          <w:color w:val="20242A"/>
          <w:sz w:val="21"/>
        </w:rPr>
        <w:t>Call IBookingService or IPerformanceService.</w:t>
      </w:r>
    </w:p>
    <w:p>
      <w:pPr>
        <w:pStyle w:val="ListBullet"/>
        <w:spacing w:after="80" w:line="300" w:lineRule="auto"/>
        <w:ind w:left="540" w:hanging="271"/>
      </w:pPr>
      <w:r>
        <w:rPr>
          <w:rFonts w:ascii="Calibri" w:hAnsi="Calibri"/>
          <w:b w:val="0"/>
          <w:i w:val="0"/>
          <w:color w:val="20242A"/>
          <w:sz w:val="21"/>
        </w:rPr>
        <w:t>Translate service outcomes into HTTP responses.</w:t>
      </w:r>
    </w:p>
    <w:p>
      <w:pPr>
        <w:pStyle w:val="ListBullet"/>
        <w:spacing w:after="80" w:line="300" w:lineRule="auto"/>
        <w:ind w:left="540" w:hanging="271"/>
      </w:pPr>
      <w:r>
        <w:rPr>
          <w:rFonts w:ascii="Calibri" w:hAnsi="Calibri"/>
          <w:b w:val="0"/>
          <w:i w:val="0"/>
          <w:color w:val="20242A"/>
          <w:sz w:val="21"/>
        </w:rPr>
        <w:t>Contain no EF Core queries and no RabbitMQ publishing code.</w:t>
      </w:r>
    </w:p>
    <w:p>
      <w:pPr>
        <w:pStyle w:val="Heading2"/>
      </w:pPr>
      <w:r>
        <w:t>Service responsibilities</w:t>
      </w:r>
    </w:p>
    <w:p>
      <w:pPr>
        <w:pStyle w:val="ListBullet"/>
        <w:spacing w:after="80" w:line="300" w:lineRule="auto"/>
        <w:ind w:left="540" w:hanging="271"/>
      </w:pPr>
      <w:r>
        <w:rPr>
          <w:rFonts w:ascii="Calibri" w:hAnsi="Calibri"/>
          <w:b w:val="0"/>
          <w:i w:val="0"/>
          <w:color w:val="20242A"/>
          <w:sz w:val="21"/>
        </w:rPr>
        <w:t>Enforce booking rules such as positive seat count and known performance.</w:t>
      </w:r>
    </w:p>
    <w:p>
      <w:pPr>
        <w:pStyle w:val="ListBullet"/>
        <w:spacing w:after="80" w:line="300" w:lineRule="auto"/>
        <w:ind w:left="540" w:hanging="271"/>
      </w:pPr>
      <w:r>
        <w:rPr>
          <w:rFonts w:ascii="Calibri" w:hAnsi="Calibri"/>
          <w:b w:val="0"/>
          <w:i w:val="0"/>
          <w:color w:val="20242A"/>
          <w:sz w:val="21"/>
        </w:rPr>
        <w:t>Create a Pending booking and save it through BookingDbContext.</w:t>
      </w:r>
    </w:p>
    <w:p>
      <w:pPr>
        <w:pStyle w:val="ListBullet"/>
        <w:spacing w:after="80" w:line="300" w:lineRule="auto"/>
        <w:ind w:left="540" w:hanging="271"/>
      </w:pPr>
      <w:r>
        <w:rPr>
          <w:rFonts w:ascii="Calibri" w:hAnsi="Calibri"/>
          <w:b w:val="0"/>
          <w:i w:val="0"/>
          <w:color w:val="20242A"/>
          <w:sz w:val="21"/>
        </w:rPr>
        <w:t>Create BookingCreated from the saved entity.</w:t>
      </w:r>
    </w:p>
    <w:p>
      <w:pPr>
        <w:pStyle w:val="ListBullet"/>
        <w:spacing w:after="80" w:line="300" w:lineRule="auto"/>
        <w:ind w:left="540" w:hanging="271"/>
      </w:pPr>
      <w:r>
        <w:rPr>
          <w:rFonts w:ascii="Calibri" w:hAnsi="Calibri"/>
          <w:b w:val="0"/>
          <w:i w:val="0"/>
          <w:color w:val="20242A"/>
          <w:sz w:val="21"/>
        </w:rPr>
        <w:t>Publish through IMessagePublisher after persistence succeeds.</w:t>
      </w:r>
    </w:p>
    <w:p>
      <w:pPr>
        <w:pStyle w:val="ListBullet"/>
        <w:spacing w:after="80" w:line="300" w:lineRule="auto"/>
        <w:ind w:left="540" w:hanging="271"/>
      </w:pPr>
      <w:r>
        <w:rPr>
          <w:rFonts w:ascii="Calibri" w:hAnsi="Calibri"/>
          <w:b w:val="0"/>
          <w:i w:val="0"/>
          <w:color w:val="20242A"/>
          <w:sz w:val="21"/>
        </w:rPr>
        <w:t>Return an application result that the controller maps to a response.</w:t>
      </w:r>
    </w:p>
    <w:p>
      <w:pPr>
        <w:spacing w:before="120" w:after="160" w:line="276" w:lineRule="auto"/>
        <w:ind w:left="173" w:right="173"/>
        <w:shd w:fill="F4F6F9"/>
        <w:pBdr>
          <w:left w:val="single" w:sz="18" w:space="8" w:color="2E7D5B"/>
        </w:pBdr>
      </w:pPr>
      <w:r>
        <w:rPr>
          <w:rFonts w:ascii="Calibri" w:hAnsi="Calibri"/>
          <w:b/>
          <w:i w:val="0"/>
          <w:color w:val="2E7D5B"/>
          <w:sz w:val="21"/>
        </w:rPr>
        <w:t xml:space="preserve">Coupling choice  </w:t>
      </w:r>
      <w:r>
        <w:rPr>
          <w:rFonts w:ascii="Calibri" w:hAnsi="Calibri"/>
          <w:b w:val="0"/>
          <w:i w:val="0"/>
          <w:color w:val="20242A"/>
          <w:sz w:val="20"/>
        </w:rPr>
        <w:t>The service depends on BookingDbContext and IMessagePublisher. This is explicit and testable without adding a generic repository or a large mediator framework.</w:t>
      </w:r>
    </w:p>
    <w:p>
      <w:r>
        <w:br w:type="page"/>
      </w:r>
    </w:p>
    <w:p>
      <w:pPr>
        <w:pStyle w:val="Heading1"/>
      </w:pPr>
      <w:r>
        <w:t>4. Module responsibilities</w:t>
      </w:r>
    </w:p>
    <w:p>
      <w:pPr>
        <w:pStyle w:val="Heading2"/>
      </w:pPr>
      <w:r>
        <w:t>OperaHouse.Booking.Api</w:t>
      </w:r>
    </w:p>
    <w:p>
      <w:r>
        <w:rPr>
          <w:rFonts w:ascii="Calibri" w:hAnsi="Calibri"/>
          <w:b w:val="0"/>
          <w:i w:val="0"/>
          <w:color w:val="20242A"/>
          <w:sz w:val="21"/>
        </w:rPr>
        <w:t>Owns booking and performance behavior. It is the only Phase 1 application that reads or writes PostgreSQL. Its public surface is HTTP; its outgoing integration surface is BookingCreated.</w:t>
      </w:r>
    </w:p>
    <w:p>
      <w:pPr>
        <w:pStyle w:val="Heading2"/>
      </w:pPr>
      <w:r>
        <w:t>OperaHouse.Notification.Worker</w:t>
      </w:r>
    </w:p>
    <w:p>
      <w:r>
        <w:rPr>
          <w:rFonts w:ascii="Calibri" w:hAnsi="Calibri"/>
          <w:b w:val="0"/>
          <w:i w:val="0"/>
          <w:color w:val="20242A"/>
          <w:sz w:val="21"/>
        </w:rPr>
        <w:t>Owns the notification consumer. It declares the queue and binding, consumes asynchronously, logs the simulated email, ACKs only after successful processing, and NACKs failures with requeue set to false.</w:t>
      </w:r>
    </w:p>
    <w:p>
      <w:pPr>
        <w:pStyle w:val="Heading2"/>
      </w:pPr>
      <w:r>
        <w:t>OperaHouse.Contracts</w:t>
      </w:r>
    </w:p>
    <w:p>
      <w:r>
        <w:rPr>
          <w:rFonts w:ascii="Calibri" w:hAnsi="Calibri"/>
          <w:b w:val="0"/>
          <w:i w:val="0"/>
          <w:color w:val="20242A"/>
          <w:sz w:val="21"/>
        </w:rPr>
        <w:t>Contains stable messages shared across process boundaries. It has no dependency on ASP.NET Core, EF Core, or RabbitMQ.Client.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BookingCreated field</w:t>
            </w:r>
          </w:p>
        </w:tc>
        <w:tc>
          <w:tcPr>
            <w:tcW w:type="dxa" w:w="66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Reason</w:t>
            </w:r>
          </w:p>
        </w:tc>
      </w:tr>
      <w:tr>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MessageId</w:t>
            </w:r>
          </w:p>
        </w:tc>
        <w:tc>
          <w:tcPr>
            <w:tcW w:type="dxa" w:w="6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Unique identity for deduplication and diagnostics</w:t>
            </w:r>
          </w:p>
        </w:tc>
      </w:tr>
      <w:tr>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CorrelationId</w:t>
            </w:r>
          </w:p>
        </w:tc>
        <w:tc>
          <w:tcPr>
            <w:tcW w:type="dxa" w:w="6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Connects logs and operations belonging to one request</w:t>
            </w:r>
          </w:p>
        </w:tc>
      </w:tr>
      <w:tr>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BookingId</w:t>
            </w:r>
          </w:p>
        </w:tc>
        <w:tc>
          <w:tcPr>
            <w:tcW w:type="dxa" w:w="6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Identifies the source booking</w:t>
            </w:r>
          </w:p>
        </w:tc>
      </w:tr>
      <w:tr>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PerformanceId</w:t>
            </w:r>
          </w:p>
        </w:tc>
        <w:tc>
          <w:tcPr>
            <w:tcW w:type="dxa" w:w="6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Identifies the booked performance</w:t>
            </w:r>
          </w:p>
        </w:tc>
      </w:tr>
      <w:tr>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CustomerEmail</w:t>
            </w:r>
          </w:p>
        </w:tc>
        <w:tc>
          <w:tcPr>
            <w:tcW w:type="dxa" w:w="6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Provides the worker everything needed for Phase 1</w:t>
            </w:r>
          </w:p>
        </w:tc>
      </w:tr>
      <w:tr>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Seats</w:t>
            </w:r>
          </w:p>
        </w:tc>
        <w:tc>
          <w:tcPr>
            <w:tcW w:type="dxa" w:w="6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Describes the booking quantity</w:t>
            </w:r>
          </w:p>
        </w:tc>
      </w:tr>
      <w:tr>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OccurredAt</w:t>
            </w:r>
          </w:p>
        </w:tc>
        <w:tc>
          <w:tcPr>
            <w:tcW w:type="dxa" w:w="6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Records when the event happened in UTC</w:t>
            </w:r>
          </w:p>
        </w:tc>
      </w:tr>
    </w:tbl>
    <w:p>
      <w:pPr>
        <w:spacing w:after="0"/>
      </w:pPr>
    </w:p>
    <w:p>
      <w:pPr>
        <w:pStyle w:val="Heading2"/>
      </w:pPr>
      <w:r>
        <w:t>OperaHouse.Messaging</w:t>
      </w:r>
    </w:p>
    <w:p>
      <w:r>
        <w:rPr>
          <w:rFonts w:ascii="Calibri" w:hAnsi="Calibri"/>
          <w:b w:val="0"/>
          <w:i w:val="0"/>
          <w:color w:val="20242A"/>
          <w:sz w:val="21"/>
        </w:rPr>
        <w:t>Contains small, transport-focused components such as RabbitMqOptions, RabbitMqTopology, IMessagePublisher, and RabbitMqPublisher. It must not contain booking rules.</w:t>
      </w:r>
    </w:p>
    <w:p>
      <w:pPr>
        <w:spacing w:before="120" w:after="160" w:line="276" w:lineRule="auto"/>
        <w:ind w:left="173" w:right="173"/>
        <w:shd w:fill="F4F6F9"/>
        <w:pBdr>
          <w:left w:val="single" w:sz="18" w:space="8" w:color="2E74B5"/>
        </w:pBdr>
      </w:pPr>
      <w:r>
        <w:rPr>
          <w:rFonts w:ascii="Calibri" w:hAnsi="Calibri"/>
          <w:b/>
          <w:i w:val="0"/>
          <w:color w:val="2E74B5"/>
          <w:sz w:val="21"/>
        </w:rPr>
        <w:t xml:space="preserve">Boundary rule  </w:t>
      </w:r>
      <w:r>
        <w:rPr>
          <w:rFonts w:ascii="Calibri" w:hAnsi="Calibri"/>
          <w:b w:val="0"/>
          <w:i w:val="0"/>
          <w:color w:val="20242A"/>
          <w:sz w:val="20"/>
        </w:rPr>
        <w:t>Contracts describe what happened. Messaging describes how it travels. The API decides when it should happen.</w:t>
      </w:r>
    </w:p>
    <w:p>
      <w:pPr>
        <w:pStyle w:val="Heading1"/>
      </w:pPr>
      <w:r>
        <w:t>5. Project dependencies</w:t>
      </w:r>
    </w:p>
    <w:tbl>
      <w:tblPr>
        <w:tblStyle w:val="TableGrid"/>
        <w:tblW w:type="dxa" w:w="9360"/>
        <w:jc w:val="left"/>
        <w:tblLayout w:type="fixed"/>
        <w:tblLook w:firstColumn="1" w:firstRow="1" w:lastColumn="0" w:lastRow="0" w:noHBand="0" w:noVBand="1" w:val="04A0"/>
        <w:tblInd w:w="120" w:type="dxa"/>
      </w:tblPr>
      <w:tblGrid>
        <w:gridCol w:w="2500"/>
        <w:gridCol w:w="3000"/>
        <w:gridCol w:w="3860"/>
      </w:tblGrid>
      <w:tr>
        <w:trPr>
          <w:tblHeader w:val="true"/>
        </w:trPr>
        <w:tc>
          <w:tcPr>
            <w:tcW w:type="dxa" w:w="25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From</w:t>
            </w:r>
          </w:p>
        </w:tc>
        <w:tc>
          <w:tcPr>
            <w:tcW w:type="dxa" w:w="30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May reference</w:t>
            </w:r>
          </w:p>
        </w:tc>
        <w:tc>
          <w:tcPr>
            <w:tcW w:type="dxa" w:w="38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Must not reference</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Booking.Api</w:t>
            </w:r>
          </w:p>
        </w:tc>
        <w:tc>
          <w:tcPr>
            <w:tcW w:type="dxa" w:w="3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Contracts, Messaging</w:t>
            </w:r>
          </w:p>
        </w:tc>
        <w:tc>
          <w:tcPr>
            <w:tcW w:type="dxa" w:w="3860"/>
            <w:tcMar>
              <w:top w:w="80" w:type="dxa"/>
              <w:start w:w="120" w:type="dxa"/>
              <w:bottom w:w="80" w:type="dxa"/>
              <w:end w:w="120" w:type="dxa"/>
            </w:tcMar>
            <w:vAlign w:val="center"/>
          </w:tcPr>
          <w:p>
            <w:pPr>
              <w:spacing w:after="0" w:line="264" w:lineRule="auto"/>
            </w:pPr>
            <w:r/>
            <w:r>
              <w:rPr>
                <w:rFonts w:ascii="Calibri" w:hAnsi="Calibri"/>
                <w:b w:val="0"/>
                <w:i w:val="0"/>
                <w:color w:val="20242A"/>
                <w:sz w:val="19"/>
              </w:rPr>
              <w:t>Notification.Worker</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Notification.Worker</w:t>
            </w:r>
          </w:p>
        </w:tc>
        <w:tc>
          <w:tcPr>
            <w:tcW w:type="dxa" w:w="3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Contracts, Messaging</w:t>
            </w:r>
          </w:p>
        </w:tc>
        <w:tc>
          <w:tcPr>
            <w:tcW w:type="dxa" w:w="386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Booking.Api or its database</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Messaging</w:t>
            </w:r>
          </w:p>
        </w:tc>
        <w:tc>
          <w:tcPr>
            <w:tcW w:type="dxa" w:w="3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Preferably no business project</w:t>
            </w:r>
          </w:p>
        </w:tc>
        <w:tc>
          <w:tcPr>
            <w:tcW w:type="dxa" w:w="386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Booking.Api, Worker</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Contracts</w:t>
            </w:r>
          </w:p>
        </w:tc>
        <w:tc>
          <w:tcPr>
            <w:tcW w:type="dxa" w:w="3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Nothing</w:t>
            </w:r>
          </w:p>
        </w:tc>
        <w:tc>
          <w:tcPr>
            <w:tcW w:type="dxa" w:w="3860"/>
            <w:tcMar>
              <w:top w:w="80" w:type="dxa"/>
              <w:start w:w="120" w:type="dxa"/>
              <w:bottom w:w="80" w:type="dxa"/>
              <w:end w:w="120" w:type="dxa"/>
            </w:tcMar>
            <w:vAlign w:val="center"/>
          </w:tcPr>
          <w:p>
            <w:pPr>
              <w:spacing w:after="0" w:line="264" w:lineRule="auto"/>
            </w:pPr>
            <w:r/>
            <w:r>
              <w:rPr>
                <w:rFonts w:ascii="Calibri" w:hAnsi="Calibri"/>
                <w:b w:val="0"/>
                <w:i w:val="0"/>
                <w:color w:val="20242A"/>
                <w:sz w:val="19"/>
              </w:rPr>
              <w:t>EF Core, ASP.NET Core, RabbitMQ.Client</w:t>
            </w:r>
          </w:p>
        </w:tc>
      </w:tr>
    </w:tbl>
    <w:p>
      <w:pPr>
        <w:spacing w:after="0"/>
      </w:pPr>
    </w:p>
    <w:p>
      <w:r>
        <w:br w:type="page"/>
      </w:r>
    </w:p>
    <w:p>
      <w:pPr>
        <w:pStyle w:val="Heading1"/>
      </w:pPr>
      <w:r>
        <w:t>6. Booking request flow</w:t>
      </w:r>
    </w:p>
    <w:p>
      <w:pPr>
        <w:pStyle w:val="ListNumber"/>
        <w:spacing w:after="80" w:line="300" w:lineRule="auto"/>
        <w:ind w:left="540" w:hanging="271"/>
      </w:pPr>
      <w:r>
        <w:rPr>
          <w:rFonts w:ascii="Calibri" w:hAnsi="Calibri"/>
          <w:b w:val="0"/>
          <w:i w:val="0"/>
          <w:color w:val="20242A"/>
          <w:sz w:val="21"/>
        </w:rPr>
        <w:t>POST /bookings binds CreateBookingRequest in BookingsController.</w:t>
      </w:r>
    </w:p>
    <w:p>
      <w:pPr>
        <w:pStyle w:val="ListNumber"/>
        <w:spacing w:after="80" w:line="300" w:lineRule="auto"/>
        <w:ind w:left="540" w:hanging="271"/>
      </w:pPr>
      <w:r>
        <w:rPr>
          <w:rFonts w:ascii="Calibri" w:hAnsi="Calibri"/>
          <w:b w:val="0"/>
          <w:i w:val="0"/>
          <w:color w:val="20242A"/>
          <w:sz w:val="21"/>
        </w:rPr>
        <w:t>The controller calls IBookingService.CreateAsync.</w:t>
      </w:r>
    </w:p>
    <w:p>
      <w:pPr>
        <w:pStyle w:val="ListNumber"/>
        <w:spacing w:after="80" w:line="300" w:lineRule="auto"/>
        <w:ind w:left="540" w:hanging="271"/>
      </w:pPr>
      <w:r>
        <w:rPr>
          <w:rFonts w:ascii="Calibri" w:hAnsi="Calibri"/>
          <w:b w:val="0"/>
          <w:i w:val="0"/>
          <w:color w:val="20242A"/>
          <w:sz w:val="21"/>
        </w:rPr>
        <w:t>BookingService validates the performance and requested seat count.</w:t>
      </w:r>
    </w:p>
    <w:p>
      <w:pPr>
        <w:pStyle w:val="ListNumber"/>
        <w:spacing w:after="80" w:line="300" w:lineRule="auto"/>
        <w:ind w:left="540" w:hanging="271"/>
      </w:pPr>
      <w:r>
        <w:rPr>
          <w:rFonts w:ascii="Calibri" w:hAnsi="Calibri"/>
          <w:b w:val="0"/>
          <w:i w:val="0"/>
          <w:color w:val="20242A"/>
          <w:sz w:val="21"/>
        </w:rPr>
        <w:t>The service creates a Pending Booking and saves it through BookingDbContext.</w:t>
      </w:r>
    </w:p>
    <w:p>
      <w:pPr>
        <w:pStyle w:val="ListNumber"/>
        <w:spacing w:after="80" w:line="300" w:lineRule="auto"/>
        <w:ind w:left="540" w:hanging="271"/>
      </w:pPr>
      <w:r>
        <w:rPr>
          <w:rFonts w:ascii="Calibri" w:hAnsi="Calibri"/>
          <w:b w:val="0"/>
          <w:i w:val="0"/>
          <w:color w:val="20242A"/>
          <w:sz w:val="21"/>
        </w:rPr>
        <w:t>The service maps the saved booking to BookingCreated.</w:t>
      </w:r>
    </w:p>
    <w:p>
      <w:pPr>
        <w:pStyle w:val="ListNumber"/>
        <w:spacing w:after="80" w:line="300" w:lineRule="auto"/>
        <w:ind w:left="540" w:hanging="271"/>
      </w:pPr>
      <w:r>
        <w:rPr>
          <w:rFonts w:ascii="Calibri" w:hAnsi="Calibri"/>
          <w:b w:val="0"/>
          <w:i w:val="0"/>
          <w:color w:val="20242A"/>
          <w:sz w:val="21"/>
        </w:rPr>
        <w:t>IMessagePublisher serializes the event and publishes it using booking.created.</w:t>
      </w:r>
    </w:p>
    <w:p>
      <w:pPr>
        <w:pStyle w:val="ListNumber"/>
        <w:spacing w:after="80" w:line="300" w:lineRule="auto"/>
        <w:ind w:left="540" w:hanging="271"/>
      </w:pPr>
      <w:r>
        <w:rPr>
          <w:rFonts w:ascii="Calibri" w:hAnsi="Calibri"/>
          <w:b w:val="0"/>
          <w:i w:val="0"/>
          <w:color w:val="20242A"/>
          <w:sz w:val="21"/>
        </w:rPr>
        <w:t>The service returns the booking ID and status; the controller returns the HTTP response.</w:t>
      </w:r>
    </w:p>
    <w:p>
      <w:pPr>
        <w:spacing w:before="120" w:after="160" w:line="276" w:lineRule="auto"/>
        <w:ind w:left="173" w:right="173"/>
        <w:shd w:fill="F4F6F9"/>
        <w:pBdr>
          <w:left w:val="single" w:sz="18" w:space="8" w:color="9A6700"/>
        </w:pBdr>
      </w:pPr>
      <w:r>
        <w:rPr>
          <w:rFonts w:ascii="Calibri" w:hAnsi="Calibri"/>
          <w:b/>
          <w:i w:val="0"/>
          <w:color w:val="9A6700"/>
          <w:sz w:val="21"/>
        </w:rPr>
        <w:t xml:space="preserve">Ordering matters  </w:t>
      </w:r>
      <w:r>
        <w:rPr>
          <w:rFonts w:ascii="Calibri" w:hAnsi="Calibri"/>
          <w:b w:val="0"/>
          <w:i w:val="0"/>
          <w:color w:val="20242A"/>
          <w:sz w:val="20"/>
        </w:rPr>
        <w:t>Persistence happens before publication so an event never announces a booking that was not saved. Phase 1 still has a reliability gap if publication fails afterward.</w:t>
      </w:r>
    </w:p>
    <w:p>
      <w:pPr>
        <w:pStyle w:val="Heading1"/>
      </w:pPr>
      <w:r>
        <w:t>7. RabbitMQ topology</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Element</w:t>
            </w:r>
          </w:p>
        </w:tc>
        <w:tc>
          <w:tcPr>
            <w:tcW w:type="dxa" w:w="33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Value</w:t>
            </w:r>
          </w:p>
        </w:tc>
        <w:tc>
          <w:tcPr>
            <w:tcW w:type="dxa" w:w="41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Why</w:t>
            </w:r>
          </w:p>
        </w:tc>
      </w:tr>
      <w:tr>
        <w:tc>
          <w:tcPr>
            <w:tcW w:type="dxa" w:w="1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Exchange</w:t>
            </w:r>
          </w:p>
        </w:tc>
        <w:tc>
          <w:tcPr>
            <w:tcW w:type="dxa" w:w="3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operahouse.events</w:t>
            </w:r>
          </w:p>
        </w:tc>
        <w:tc>
          <w:tcPr>
            <w:tcW w:type="dxa" w:w="4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Single entry point for domain events</w:t>
            </w:r>
          </w:p>
        </w:tc>
      </w:tr>
      <w:tr>
        <w:tc>
          <w:tcPr>
            <w:tcW w:type="dxa" w:w="1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Exchange type</w:t>
            </w:r>
          </w:p>
        </w:tc>
        <w:tc>
          <w:tcPr>
            <w:tcW w:type="dxa" w:w="3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topic</w:t>
            </w:r>
          </w:p>
        </w:tc>
        <w:tc>
          <w:tcPr>
            <w:tcW w:type="dxa" w:w="4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Routes events using descriptive keys</w:t>
            </w:r>
          </w:p>
        </w:tc>
      </w:tr>
      <w:tr>
        <w:tc>
          <w:tcPr>
            <w:tcW w:type="dxa" w:w="1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Routing key</w:t>
            </w:r>
          </w:p>
        </w:tc>
        <w:tc>
          <w:tcPr>
            <w:tcW w:type="dxa" w:w="3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booking.created</w:t>
            </w:r>
          </w:p>
        </w:tc>
        <w:tc>
          <w:tcPr>
            <w:tcW w:type="dxa" w:w="4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Describes the event category</w:t>
            </w:r>
          </w:p>
        </w:tc>
      </w:tr>
      <w:tr>
        <w:tc>
          <w:tcPr>
            <w:tcW w:type="dxa" w:w="1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Queue</w:t>
            </w:r>
          </w:p>
        </w:tc>
        <w:tc>
          <w:tcPr>
            <w:tcW w:type="dxa" w:w="3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notification-booking-created.queue</w:t>
            </w:r>
          </w:p>
        </w:tc>
        <w:tc>
          <w:tcPr>
            <w:tcW w:type="dxa" w:w="4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Consumer-purpose ownership</w:t>
            </w:r>
          </w:p>
        </w:tc>
      </w:tr>
      <w:tr>
        <w:tc>
          <w:tcPr>
            <w:tcW w:type="dxa" w:w="1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Binding</w:t>
            </w:r>
          </w:p>
        </w:tc>
        <w:tc>
          <w:tcPr>
            <w:tcW w:type="dxa" w:w="3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booking.created</w:t>
            </w:r>
          </w:p>
        </w:tc>
        <w:tc>
          <w:tcPr>
            <w:tcW w:type="dxa" w:w="4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Routes matching events to notification</w:t>
            </w:r>
          </w:p>
        </w:tc>
      </w:tr>
      <w:tr>
        <w:tc>
          <w:tcPr>
            <w:tcW w:type="dxa" w:w="1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Durability</w:t>
            </w:r>
          </w:p>
        </w:tc>
        <w:tc>
          <w:tcPr>
            <w:tcW w:type="dxa" w:w="3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Exchange and queue durable</w:t>
            </w:r>
          </w:p>
        </w:tc>
        <w:tc>
          <w:tcPr>
            <w:tcW w:type="dxa" w:w="4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Survives broker restart</w:t>
            </w:r>
          </w:p>
        </w:tc>
      </w:tr>
      <w:tr>
        <w:tc>
          <w:tcPr>
            <w:tcW w:type="dxa" w:w="1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Delivery mode</w:t>
            </w:r>
          </w:p>
        </w:tc>
        <w:tc>
          <w:tcPr>
            <w:tcW w:type="dxa" w:w="3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Persistent</w:t>
            </w:r>
          </w:p>
        </w:tc>
        <w:tc>
          <w:tcPr>
            <w:tcW w:type="dxa" w:w="4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Requests message persistence</w:t>
            </w:r>
          </w:p>
        </w:tc>
      </w:tr>
    </w:tbl>
    <w:p>
      <w:pPr>
        <w:spacing w:after="0"/>
      </w:pPr>
    </w:p>
    <w:p>
      <w:pPr>
        <w:pStyle w:val="Heading2"/>
      </w:pPr>
      <w:r>
        <w:t>Consumer acknowledgement</w:t>
      </w:r>
    </w:p>
    <w:tbl>
      <w:tblPr>
        <w:tblStyle w:val="TableGrid"/>
        <w:tblW w:type="dxa" w:w="9360"/>
        <w:jc w:val="left"/>
        <w:tblLayout w:type="fixed"/>
        <w:tblLook w:firstColumn="1" w:firstRow="1" w:lastColumn="0" w:lastRow="0" w:noHBand="0" w:noVBand="1" w:val="04A0"/>
        <w:tblInd w:w="120" w:type="dxa"/>
      </w:tblPr>
      <w:tblGrid>
        <w:gridCol w:w="2300"/>
        <w:gridCol w:w="2700"/>
        <w:gridCol w:w="4360"/>
      </w:tblGrid>
      <w:tr>
        <w:trPr>
          <w:tblHeader w:val="true"/>
        </w:trPr>
        <w:tc>
          <w:tcPr>
            <w:tcW w:type="dxa" w:w="23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Outcome</w:t>
            </w:r>
          </w:p>
        </w:tc>
        <w:tc>
          <w:tcPr>
            <w:tcW w:type="dxa" w:w="27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RabbitMQ action</w:t>
            </w:r>
          </w:p>
        </w:tc>
        <w:tc>
          <w:tcPr>
            <w:tcW w:type="dxa" w:w="43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Meaning</w:t>
            </w:r>
          </w:p>
        </w:tc>
      </w:tr>
      <w:tr>
        <w:tc>
          <w:tcPr>
            <w:tcW w:type="dxa" w:w="2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Fake email logged</w:t>
            </w:r>
          </w:p>
        </w:tc>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ACK</w:t>
            </w:r>
          </w:p>
        </w:tc>
        <w:tc>
          <w:tcPr>
            <w:tcW w:type="dxa" w:w="4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Processing completed; remove the delivery</w:t>
            </w:r>
          </w:p>
        </w:tc>
      </w:tr>
      <w:tr>
        <w:tc>
          <w:tcPr>
            <w:tcW w:type="dxa" w:w="23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Processing throws</w:t>
            </w:r>
          </w:p>
        </w:tc>
        <w:tc>
          <w:tcPr>
            <w:tcW w:type="dxa" w:w="2700"/>
            <w:tcMar>
              <w:top w:w="80" w:type="dxa"/>
              <w:start w:w="120" w:type="dxa"/>
              <w:bottom w:w="80" w:type="dxa"/>
              <w:end w:w="120" w:type="dxa"/>
            </w:tcMar>
            <w:vAlign w:val="center"/>
          </w:tcPr>
          <w:p>
            <w:pPr>
              <w:spacing w:after="0" w:line="264" w:lineRule="auto"/>
            </w:pPr>
            <w:r/>
            <w:r>
              <w:rPr>
                <w:rFonts w:ascii="Calibri" w:hAnsi="Calibri"/>
                <w:b w:val="0"/>
                <w:i w:val="0"/>
                <w:color w:val="20242A"/>
                <w:sz w:val="19"/>
              </w:rPr>
              <w:t>NACK, requeue=false</w:t>
            </w:r>
          </w:p>
        </w:tc>
        <w:tc>
          <w:tcPr>
            <w:tcW w:type="dxa" w:w="4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Do not create an infinite poison-message loop</w:t>
            </w:r>
          </w:p>
        </w:tc>
      </w:tr>
    </w:tbl>
    <w:p>
      <w:pPr>
        <w:spacing w:after="0"/>
      </w:pPr>
    </w:p>
    <w:p>
      <w:r>
        <w:rPr>
          <w:rFonts w:ascii="Calibri" w:hAnsi="Calibri"/>
          <w:b w:val="0"/>
          <w:i w:val="0"/>
          <w:color w:val="20242A"/>
          <w:sz w:val="21"/>
        </w:rPr>
        <w:t>A later phase should attach a dead-letter exchange and queue so failed messages remain inspectable instead of being discarded.</w:t>
      </w:r>
    </w:p>
    <w:p>
      <w:r>
        <w:br w:type="page"/>
      </w:r>
    </w:p>
    <w:p>
      <w:pPr>
        <w:pStyle w:val="Heading1"/>
      </w:pPr>
      <w:r>
        <w:t>8. Data and API design</w:t>
      </w:r>
    </w:p>
    <w:p>
      <w:pPr>
        <w:pStyle w:val="Heading2"/>
      </w:pPr>
      <w:r>
        <w:t>Persistence entities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Entity</w:t>
            </w:r>
          </w:p>
        </w:tc>
        <w:tc>
          <w:tcPr>
            <w:tcW w:type="dxa" w:w="71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Fields</w:t>
            </w:r>
          </w:p>
        </w:tc>
      </w:tr>
      <w:tr>
        <w:tc>
          <w:tcPr>
            <w:tcW w:type="dxa" w:w="22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w:t>
            </w:r>
          </w:p>
        </w:tc>
        <w:tc>
          <w:tcPr>
            <w:tcW w:type="dxa" w:w="7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Id, PerformanceId, CustomerEmail, Seats, Status, CreatedAt</w:t>
            </w:r>
          </w:p>
        </w:tc>
      </w:tr>
      <w:tr>
        <w:tc>
          <w:tcPr>
            <w:tcW w:type="dxa" w:w="22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Performance</w:t>
            </w:r>
          </w:p>
        </w:tc>
        <w:tc>
          <w:tcPr>
            <w:tcW w:type="dxa" w:w="7160"/>
            <w:tcMar>
              <w:top w:w="80" w:type="dxa"/>
              <w:start w:w="120" w:type="dxa"/>
              <w:bottom w:w="80" w:type="dxa"/>
              <w:end w:w="120" w:type="dxa"/>
            </w:tcMar>
            <w:vAlign w:val="center"/>
          </w:tcPr>
          <w:p>
            <w:pPr>
              <w:spacing w:after="0" w:line="264" w:lineRule="auto"/>
            </w:pPr>
            <w:r/>
            <w:r>
              <w:rPr>
                <w:rFonts w:ascii="Calibri" w:hAnsi="Calibri"/>
                <w:b w:val="0"/>
                <w:i w:val="0"/>
                <w:color w:val="20242A"/>
                <w:sz w:val="19"/>
              </w:rPr>
              <w:t>Id, Title, Venue, StartsAt, AvailableSeats</w:t>
            </w:r>
          </w:p>
        </w:tc>
      </w:tr>
    </w:tbl>
    <w:p>
      <w:pPr>
        <w:spacing w:after="0"/>
      </w:pPr>
    </w:p>
    <w:p>
      <w:pPr>
        <w:pStyle w:val="Heading2"/>
      </w:pPr>
      <w:r>
        <w:t>Endpoints</w:t>
      </w:r>
    </w:p>
    <w:tbl>
      <w:tblPr>
        <w:tblStyle w:val="TableGrid"/>
        <w:tblW w:type="dxa" w:w="9360"/>
        <w:jc w:val="left"/>
        <w:tblLayout w:type="fixed"/>
        <w:tblLook w:firstColumn="1" w:firstRow="1" w:lastColumn="0" w:lastRow="0" w:noHBand="0" w:noVBand="1" w:val="04A0"/>
        <w:tblInd w:w="120" w:type="dxa"/>
      </w:tblPr>
      <w:tblGrid>
        <w:gridCol w:w="1100"/>
        <w:gridCol w:w="2200"/>
        <w:gridCol w:w="3400"/>
        <w:gridCol w:w="2660"/>
      </w:tblGrid>
      <w:tr>
        <w:trPr>
          <w:tblHeader w:val="true"/>
        </w:trPr>
        <w:tc>
          <w:tcPr>
            <w:tcW w:type="dxa" w:w="11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Method</w:t>
            </w:r>
          </w:p>
        </w:tc>
        <w:tc>
          <w:tcPr>
            <w:tcW w:type="dxa" w:w="22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Route</w:t>
            </w:r>
          </w:p>
        </w:tc>
        <w:tc>
          <w:tcPr>
            <w:tcW w:type="dxa" w:w="34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Service call</w:t>
            </w:r>
          </w:p>
        </w:tc>
        <w:tc>
          <w:tcPr>
            <w:tcW w:type="dxa" w:w="26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Purpose</w:t>
            </w:r>
          </w:p>
        </w:tc>
      </w:tr>
      <w:tr>
        <w:tc>
          <w:tcPr>
            <w:tcW w:type="dxa" w:w="1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GET</w:t>
            </w:r>
          </w:p>
        </w:tc>
        <w:tc>
          <w:tcPr>
            <w:tcW w:type="dxa" w:w="22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/performances</w:t>
            </w:r>
          </w:p>
        </w:tc>
        <w:tc>
          <w:tcPr>
            <w:tcW w:type="dxa" w:w="3400"/>
            <w:tcMar>
              <w:top w:w="80" w:type="dxa"/>
              <w:start w:w="120" w:type="dxa"/>
              <w:bottom w:w="80" w:type="dxa"/>
              <w:end w:w="120" w:type="dxa"/>
            </w:tcMar>
            <w:vAlign w:val="center"/>
          </w:tcPr>
          <w:p>
            <w:pPr>
              <w:spacing w:after="0" w:line="264" w:lineRule="auto"/>
            </w:pPr>
            <w:r/>
            <w:r>
              <w:rPr>
                <w:rFonts w:ascii="Calibri" w:hAnsi="Calibri"/>
                <w:b w:val="0"/>
                <w:i w:val="0"/>
                <w:color w:val="20242A"/>
                <w:sz w:val="19"/>
              </w:rPr>
              <w:t>IPerformanceService.GetAllAsync</w:t>
            </w:r>
          </w:p>
        </w:tc>
        <w:tc>
          <w:tcPr>
            <w:tcW w:type="dxa" w:w="2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List available performances</w:t>
            </w:r>
          </w:p>
        </w:tc>
      </w:tr>
      <w:tr>
        <w:tc>
          <w:tcPr>
            <w:tcW w:type="dxa" w:w="1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POST</w:t>
            </w:r>
          </w:p>
        </w:tc>
        <w:tc>
          <w:tcPr>
            <w:tcW w:type="dxa" w:w="22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/bookings</w:t>
            </w:r>
          </w:p>
        </w:tc>
        <w:tc>
          <w:tcPr>
            <w:tcW w:type="dxa" w:w="3400"/>
            <w:tcMar>
              <w:top w:w="80" w:type="dxa"/>
              <w:start w:w="120" w:type="dxa"/>
              <w:bottom w:w="80" w:type="dxa"/>
              <w:end w:w="120" w:type="dxa"/>
            </w:tcMar>
            <w:vAlign w:val="center"/>
          </w:tcPr>
          <w:p>
            <w:pPr>
              <w:spacing w:after="0" w:line="264" w:lineRule="auto"/>
            </w:pPr>
            <w:r/>
            <w:r>
              <w:rPr>
                <w:rFonts w:ascii="Calibri" w:hAnsi="Calibri"/>
                <w:b w:val="0"/>
                <w:i w:val="0"/>
                <w:color w:val="20242A"/>
                <w:sz w:val="19"/>
              </w:rPr>
              <w:t>IBookingService.CreateAsync</w:t>
            </w:r>
          </w:p>
        </w:tc>
        <w:tc>
          <w:tcPr>
            <w:tcW w:type="dxa" w:w="2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Create and publish a booking</w:t>
            </w:r>
          </w:p>
        </w:tc>
      </w:tr>
      <w:tr>
        <w:tc>
          <w:tcPr>
            <w:tcW w:type="dxa" w:w="1100"/>
            <w:tcMar>
              <w:top w:w="80" w:type="dxa"/>
              <w:start w:w="120" w:type="dxa"/>
              <w:bottom w:w="80" w:type="dxa"/>
              <w:end w:w="120" w:type="dxa"/>
            </w:tcMar>
            <w:vAlign w:val="center"/>
          </w:tcPr>
          <w:p>
            <w:pPr>
              <w:spacing w:after="0" w:line="264" w:lineRule="auto"/>
            </w:pPr>
            <w:r/>
            <w:r>
              <w:rPr>
                <w:rFonts w:ascii="Calibri" w:hAnsi="Calibri"/>
                <w:b w:val="0"/>
                <w:i w:val="0"/>
                <w:color w:val="20242A"/>
                <w:sz w:val="19"/>
              </w:rPr>
              <w:t>GET</w:t>
            </w:r>
          </w:p>
        </w:tc>
        <w:tc>
          <w:tcPr>
            <w:tcW w:type="dxa" w:w="2200"/>
            <w:tcMar>
              <w:top w:w="80" w:type="dxa"/>
              <w:start w:w="120" w:type="dxa"/>
              <w:bottom w:w="80" w:type="dxa"/>
              <w:end w:w="120" w:type="dxa"/>
            </w:tcMar>
            <w:vAlign w:val="center"/>
          </w:tcPr>
          <w:p>
            <w:pPr>
              <w:spacing w:after="0" w:line="264" w:lineRule="auto"/>
            </w:pPr>
            <w:r/>
            <w:r>
              <w:rPr>
                <w:rFonts w:ascii="Calibri" w:hAnsi="Calibri"/>
                <w:b w:val="0"/>
                <w:i w:val="0"/>
                <w:color w:val="20242A"/>
                <w:sz w:val="19"/>
              </w:rPr>
              <w:t>/bookings/{id}</w:t>
            </w:r>
          </w:p>
        </w:tc>
        <w:tc>
          <w:tcPr>
            <w:tcW w:type="dxa" w:w="3400"/>
            <w:tcMar>
              <w:top w:w="80" w:type="dxa"/>
              <w:start w:w="120" w:type="dxa"/>
              <w:bottom w:w="80" w:type="dxa"/>
              <w:end w:w="120" w:type="dxa"/>
            </w:tcMar>
            <w:vAlign w:val="center"/>
          </w:tcPr>
          <w:p>
            <w:pPr>
              <w:spacing w:after="0" w:line="264" w:lineRule="auto"/>
            </w:pPr>
            <w:r/>
            <w:r>
              <w:rPr>
                <w:rFonts w:ascii="Calibri" w:hAnsi="Calibri"/>
                <w:b w:val="0"/>
                <w:i w:val="0"/>
                <w:color w:val="20242A"/>
                <w:sz w:val="19"/>
              </w:rPr>
              <w:t>IBookingService.GetByIdAsync</w:t>
            </w:r>
          </w:p>
        </w:tc>
        <w:tc>
          <w:tcPr>
            <w:tcW w:type="dxa" w:w="2660"/>
            <w:tcMar>
              <w:top w:w="80" w:type="dxa"/>
              <w:start w:w="120" w:type="dxa"/>
              <w:bottom w:w="80" w:type="dxa"/>
              <w:end w:w="120" w:type="dxa"/>
            </w:tcMar>
            <w:vAlign w:val="center"/>
          </w:tcPr>
          <w:p>
            <w:pPr>
              <w:spacing w:after="0" w:line="264" w:lineRule="auto"/>
            </w:pPr>
            <w:r/>
            <w:r>
              <w:rPr>
                <w:rFonts w:ascii="Calibri" w:hAnsi="Calibri"/>
                <w:b w:val="0"/>
                <w:i w:val="0"/>
                <w:color w:val="20242A"/>
                <w:sz w:val="19"/>
              </w:rPr>
              <w:t>Read one booking</w:t>
            </w:r>
          </w:p>
        </w:tc>
      </w:tr>
    </w:tbl>
    <w:p>
      <w:pPr>
        <w:spacing w:after="0"/>
      </w:pPr>
    </w:p>
    <w:p>
      <w:pPr>
        <w:pStyle w:val="Heading2"/>
      </w:pPr>
      <w:r>
        <w:t>DTO separation</w:t>
      </w:r>
    </w:p>
    <w:p>
      <w:r>
        <w:rPr>
          <w:rFonts w:ascii="Calibri" w:hAnsi="Calibri"/>
          <w:b w:val="0"/>
          <w:i w:val="0"/>
          <w:color w:val="20242A"/>
          <w:sz w:val="21"/>
        </w:rPr>
        <w:t>CreateBookingRequest represents client input. BookingResponse represents the HTTP result. Booking is the database entity. BookingCreated is the integration event. Keeping them separate prevents an HTTP or database change from silently changing the message contract.</w:t>
      </w:r>
    </w:p>
    <w:p>
      <w:pPr>
        <w:pStyle w:val="Heading1"/>
      </w:pPr>
      <w:r>
        <w:t>9. Reliability and lifecycle decisions</w:t>
      </w:r>
    </w:p>
    <w:tbl>
      <w:tblPr>
        <w:tblStyle w:val="TableGrid"/>
        <w:tblW w:type="dxa" w:w="9360"/>
        <w:jc w:val="left"/>
        <w:tblLayout w:type="fixed"/>
        <w:tblLook w:firstColumn="1" w:firstRow="1" w:lastColumn="0" w:lastRow="0" w:noHBand="0" w:noVBand="1" w:val="04A0"/>
        <w:tblInd w:w="120" w:type="dxa"/>
      </w:tblPr>
      <w:tblGrid>
        <w:gridCol w:w="2500"/>
        <w:gridCol w:w="2900"/>
        <w:gridCol w:w="3960"/>
      </w:tblGrid>
      <w:tr>
        <w:trPr>
          <w:tblHeader w:val="true"/>
        </w:trPr>
        <w:tc>
          <w:tcPr>
            <w:tcW w:type="dxa" w:w="25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Decision</w:t>
            </w:r>
          </w:p>
        </w:tc>
        <w:tc>
          <w:tcPr>
            <w:tcW w:type="dxa" w:w="29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Phase 1</w:t>
            </w:r>
          </w:p>
        </w:tc>
        <w:tc>
          <w:tcPr>
            <w:tcW w:type="dxa" w:w="39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Later improvement</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Database + publish atomicity</w:t>
            </w:r>
          </w:p>
        </w:tc>
        <w:tc>
          <w:tcPr>
            <w:tcW w:type="dxa" w:w="2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Save, then publish</w:t>
            </w:r>
          </w:p>
        </w:tc>
        <w:tc>
          <w:tcPr>
            <w:tcW w:type="dxa" w:w="3960"/>
            <w:tcMar>
              <w:top w:w="80" w:type="dxa"/>
              <w:start w:w="120" w:type="dxa"/>
              <w:bottom w:w="80" w:type="dxa"/>
              <w:end w:w="120" w:type="dxa"/>
            </w:tcMar>
            <w:vAlign w:val="center"/>
          </w:tcPr>
          <w:p>
            <w:pPr>
              <w:spacing w:after="0" w:line="264" w:lineRule="auto"/>
            </w:pPr>
            <w:r/>
            <w:r>
              <w:rPr>
                <w:rFonts w:ascii="Calibri" w:hAnsi="Calibri"/>
                <w:b w:val="0"/>
                <w:i w:val="0"/>
                <w:color w:val="20242A"/>
                <w:sz w:val="19"/>
              </w:rPr>
              <w:t>Transactional outbox</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Failed consumption</w:t>
            </w:r>
          </w:p>
        </w:tc>
        <w:tc>
          <w:tcPr>
            <w:tcW w:type="dxa" w:w="2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NACK without requeue</w:t>
            </w:r>
          </w:p>
        </w:tc>
        <w:tc>
          <w:tcPr>
            <w:tcW w:type="dxa" w:w="3960"/>
            <w:tcMar>
              <w:top w:w="80" w:type="dxa"/>
              <w:start w:w="120" w:type="dxa"/>
              <w:bottom w:w="80" w:type="dxa"/>
              <w:end w:w="120" w:type="dxa"/>
            </w:tcMar>
            <w:vAlign w:val="center"/>
          </w:tcPr>
          <w:p>
            <w:pPr>
              <w:spacing w:after="0" w:line="264" w:lineRule="auto"/>
            </w:pPr>
            <w:r/>
            <w:r>
              <w:rPr>
                <w:rFonts w:ascii="Calibri" w:hAnsi="Calibri"/>
                <w:b w:val="0"/>
                <w:i w:val="0"/>
                <w:color w:val="20242A"/>
                <w:sz w:val="19"/>
              </w:rPr>
              <w:t>Dead-letter exchange and queue</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Duplicate delivery</w:t>
            </w:r>
          </w:p>
        </w:tc>
        <w:tc>
          <w:tcPr>
            <w:tcW w:type="dxa" w:w="2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Accept possibility</w:t>
            </w:r>
          </w:p>
        </w:tc>
        <w:tc>
          <w:tcPr>
            <w:tcW w:type="dxa" w:w="3960"/>
            <w:tcMar>
              <w:top w:w="80" w:type="dxa"/>
              <w:start w:w="120" w:type="dxa"/>
              <w:bottom w:w="80" w:type="dxa"/>
              <w:end w:w="120" w:type="dxa"/>
            </w:tcMar>
            <w:vAlign w:val="center"/>
          </w:tcPr>
          <w:p>
            <w:pPr>
              <w:spacing w:after="0" w:line="264" w:lineRule="auto"/>
            </w:pPr>
            <w:r/>
            <w:r>
              <w:rPr>
                <w:rFonts w:ascii="Calibri" w:hAnsi="Calibri"/>
                <w:b w:val="0"/>
                <w:i w:val="0"/>
                <w:color w:val="20242A"/>
                <w:sz w:val="19"/>
              </w:rPr>
              <w:t>Idempotent consumer / inbox</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Connection recovery</w:t>
            </w:r>
          </w:p>
        </w:tc>
        <w:tc>
          <w:tcPr>
            <w:tcW w:type="dxa" w:w="2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RabbitMQ.Client recovery settings</w:t>
            </w:r>
          </w:p>
        </w:tc>
        <w:tc>
          <w:tcPr>
            <w:tcW w:type="dxa" w:w="3960"/>
            <w:tcMar>
              <w:top w:w="80" w:type="dxa"/>
              <w:start w:w="120" w:type="dxa"/>
              <w:bottom w:w="80" w:type="dxa"/>
              <w:end w:w="120" w:type="dxa"/>
            </w:tcMar>
            <w:vAlign w:val="center"/>
          </w:tcPr>
          <w:p>
            <w:pPr>
              <w:spacing w:after="0" w:line="264" w:lineRule="auto"/>
            </w:pPr>
            <w:r/>
            <w:r>
              <w:rPr>
                <w:rFonts w:ascii="Calibri" w:hAnsi="Calibri"/>
                <w:b w:val="0"/>
                <w:i w:val="0"/>
                <w:color w:val="20242A"/>
                <w:sz w:val="19"/>
              </w:rPr>
              <w:t>Operational monitoring</w:t>
            </w:r>
          </w:p>
        </w:tc>
      </w:tr>
      <w:tr>
        <w:tc>
          <w:tcPr>
            <w:tcW w:type="dxa" w:w="2500"/>
            <w:tcMar>
              <w:top w:w="80" w:type="dxa"/>
              <w:start w:w="120" w:type="dxa"/>
              <w:bottom w:w="80" w:type="dxa"/>
              <w:end w:w="120" w:type="dxa"/>
            </w:tcMar>
            <w:vAlign w:val="center"/>
          </w:tcPr>
          <w:p>
            <w:pPr>
              <w:spacing w:after="0" w:line="264" w:lineRule="auto"/>
            </w:pPr>
            <w:r/>
            <w:r>
              <w:rPr>
                <w:rFonts w:ascii="Calibri" w:hAnsi="Calibri"/>
                <w:b w:val="0"/>
                <w:i w:val="0"/>
                <w:color w:val="20242A"/>
                <w:sz w:val="19"/>
              </w:rPr>
              <w:t>Schema evolution</w:t>
            </w:r>
          </w:p>
        </w:tc>
        <w:tc>
          <w:tcPr>
            <w:tcW w:type="dxa" w:w="2900"/>
            <w:tcMar>
              <w:top w:w="80" w:type="dxa"/>
              <w:start w:w="120" w:type="dxa"/>
              <w:bottom w:w="80" w:type="dxa"/>
              <w:end w:w="120" w:type="dxa"/>
            </w:tcMar>
            <w:vAlign w:val="center"/>
          </w:tcPr>
          <w:p>
            <w:pPr>
              <w:spacing w:after="0" w:line="264" w:lineRule="auto"/>
            </w:pPr>
            <w:r/>
            <w:r>
              <w:rPr>
                <w:rFonts w:ascii="Calibri" w:hAnsi="Calibri"/>
                <w:b w:val="0"/>
                <w:i w:val="0"/>
                <w:color w:val="20242A"/>
                <w:sz w:val="19"/>
              </w:rPr>
              <w:t>Single event version</w:t>
            </w:r>
          </w:p>
        </w:tc>
        <w:tc>
          <w:tcPr>
            <w:tcW w:type="dxa" w:w="396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Compatibility policy and versioning</w:t>
            </w:r>
          </w:p>
        </w:tc>
      </w:tr>
    </w:tbl>
    <w:p>
      <w:pPr>
        <w:spacing w:after="0"/>
      </w:pPr>
    </w:p>
    <w:p>
      <w:pPr>
        <w:spacing w:before="120" w:after="160" w:line="276" w:lineRule="auto"/>
        <w:ind w:left="173" w:right="173"/>
        <w:shd w:fill="F4F6F9"/>
        <w:pBdr>
          <w:left w:val="single" w:sz="18" w:space="8" w:color="2E7D5B"/>
        </w:pBdr>
      </w:pPr>
      <w:r>
        <w:rPr>
          <w:rFonts w:ascii="Calibri" w:hAnsi="Calibri"/>
          <w:b/>
          <w:i w:val="0"/>
          <w:color w:val="2E7D5B"/>
          <w:sz w:val="21"/>
        </w:rPr>
        <w:t xml:space="preserve">Why begin simply?  </w:t>
      </w:r>
      <w:r>
        <w:rPr>
          <w:rFonts w:ascii="Calibri" w:hAnsi="Calibri"/>
          <w:b w:val="0"/>
          <w:i w:val="0"/>
          <w:color w:val="20242A"/>
          <w:sz w:val="20"/>
        </w:rPr>
        <w:t>The first implementation should expose the reliability problem clearly. The outbox and idempotency patterns are easier to understand after observing the failure modes they solve.</w:t>
      </w:r>
    </w:p>
    <w:p>
      <w:r>
        <w:br w:type="page"/>
      </w:r>
    </w:p>
    <w:p>
      <w:pPr>
        <w:pStyle w:val="Heading1"/>
      </w:pPr>
      <w:r>
        <w:t>10. Recommended implementation sequence</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Step</w:t>
            </w:r>
          </w:p>
        </w:tc>
        <w:tc>
          <w:tcPr>
            <w:tcW w:type="dxa" w:w="7360"/>
            <w:shd w:fill="E8EEF5"/>
            <w:tcMar>
              <w:top w:w="80" w:type="dxa"/>
              <w:start w:w="120" w:type="dxa"/>
              <w:bottom w:w="80" w:type="dxa"/>
              <w:end w:w="120" w:type="dxa"/>
            </w:tcMar>
            <w:vAlign w:val="center"/>
          </w:tcPr>
          <w:p>
            <w:pPr>
              <w:spacing w:after="0" w:line="264" w:lineRule="auto"/>
            </w:pPr>
            <w:r/>
            <w:r>
              <w:rPr>
                <w:rFonts w:ascii="Calibri" w:hAnsi="Calibri"/>
                <w:b/>
                <w:i w:val="0"/>
                <w:color w:val="17365D"/>
                <w:sz w:val="19"/>
              </w:rPr>
              <w:t>Outcome</w:t>
            </w:r>
          </w:p>
        </w:tc>
      </w:tr>
      <w:tr>
        <w:tc>
          <w:tcPr>
            <w:tcW w:type="dxa" w:w="2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Infrastructure</w:t>
            </w:r>
          </w:p>
        </w:tc>
        <w:tc>
          <w:tcPr>
            <w:tcW w:type="dxa" w:w="7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Add Docker Compose for RabbitMQ Management and PostgreSQL.</w:t>
            </w:r>
          </w:p>
        </w:tc>
      </w:tr>
      <w:tr>
        <w:tc>
          <w:tcPr>
            <w:tcW w:type="dxa" w:w="2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Persistence</w:t>
            </w:r>
          </w:p>
        </w:tc>
        <w:tc>
          <w:tcPr>
            <w:tcW w:type="dxa" w:w="7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Add EF Core packages, entities, DbContext, migrations, and seed performances.</w:t>
            </w:r>
          </w:p>
        </w:tc>
      </w:tr>
      <w:tr>
        <w:tc>
          <w:tcPr>
            <w:tcW w:type="dxa" w:w="2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HTTP use cases</w:t>
            </w:r>
          </w:p>
        </w:tc>
        <w:tc>
          <w:tcPr>
            <w:tcW w:type="dxa" w:w="7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Add DTOs, service interfaces, service implementations, and thin controllers.</w:t>
            </w:r>
          </w:p>
        </w:tc>
      </w:tr>
      <w:tr>
        <w:tc>
          <w:tcPr>
            <w:tcW w:type="dxa" w:w="2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Contract</w:t>
            </w:r>
          </w:p>
        </w:tc>
        <w:tc>
          <w:tcPr>
            <w:tcW w:type="dxa" w:w="7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Add BookingCreated to OperaHouse.Contracts.</w:t>
            </w:r>
          </w:p>
        </w:tc>
      </w:tr>
      <w:tr>
        <w:tc>
          <w:tcPr>
            <w:tcW w:type="dxa" w:w="2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Publisher</w:t>
            </w:r>
          </w:p>
        </w:tc>
        <w:tc>
          <w:tcPr>
            <w:tcW w:type="dxa" w:w="7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Add explicit RabbitMQ connection, exchange declaration, JSON publish, and persistence settings.</w:t>
            </w:r>
          </w:p>
        </w:tc>
      </w:tr>
      <w:tr>
        <w:tc>
          <w:tcPr>
            <w:tcW w:type="dxa" w:w="2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Consumer</w:t>
            </w:r>
          </w:p>
        </w:tc>
        <w:tc>
          <w:tcPr>
            <w:tcW w:type="dxa" w:w="7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Declare exchange, queue, binding, AsyncEventingBasicConsumer, manual ACK, and NACK.</w:t>
            </w:r>
          </w:p>
        </w:tc>
      </w:tr>
      <w:tr>
        <w:tc>
          <w:tcPr>
            <w:tcW w:type="dxa" w:w="2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End-to-end test</w:t>
            </w:r>
          </w:p>
        </w:tc>
        <w:tc>
          <w:tcPr>
            <w:tcW w:type="dxa" w:w="7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Create a booking, inspect RabbitMQ, observe the worker log, and verify the database row.</w:t>
            </w:r>
          </w:p>
        </w:tc>
      </w:tr>
      <w:tr>
        <w:tc>
          <w:tcPr>
            <w:tcW w:type="dxa" w:w="2000"/>
            <w:tcMar>
              <w:top w:w="80" w:type="dxa"/>
              <w:start w:w="120" w:type="dxa"/>
              <w:bottom w:w="80" w:type="dxa"/>
              <w:end w:w="120" w:type="dxa"/>
            </w:tcMar>
            <w:vAlign w:val="center"/>
          </w:tcPr>
          <w:p>
            <w:pPr>
              <w:spacing w:after="0" w:line="264" w:lineRule="auto"/>
            </w:pPr>
            <w:r/>
            <w:r>
              <w:rPr>
                <w:rFonts w:ascii="Calibri" w:hAnsi="Calibri"/>
                <w:b w:val="0"/>
                <w:i w:val="0"/>
                <w:color w:val="20242A"/>
                <w:sz w:val="19"/>
              </w:rPr>
              <w:t>Failure experiments</w:t>
            </w:r>
          </w:p>
        </w:tc>
        <w:tc>
          <w:tcPr>
            <w:tcW w:type="dxa" w:w="7360"/>
            <w:tcMar>
              <w:top w:w="80" w:type="dxa"/>
              <w:start w:w="120" w:type="dxa"/>
              <w:bottom w:w="80" w:type="dxa"/>
              <w:end w:w="120" w:type="dxa"/>
            </w:tcMar>
            <w:vAlign w:val="center"/>
          </w:tcPr>
          <w:p>
            <w:pPr>
              <w:spacing w:after="0" w:line="264" w:lineRule="auto"/>
            </w:pPr>
            <w:r/>
            <w:r>
              <w:rPr>
                <w:rFonts w:ascii="Calibri" w:hAnsi="Calibri"/>
                <w:b w:val="0"/>
                <w:i w:val="0"/>
                <w:color w:val="20242A"/>
                <w:sz w:val="19"/>
              </w:rPr>
              <w:t>Stop the worker or broker and observe delivery and publication behavior.</w:t>
            </w:r>
          </w:p>
        </w:tc>
      </w:tr>
    </w:tbl>
    <w:p>
      <w:pPr>
        <w:spacing w:after="0"/>
      </w:pPr>
    </w:p>
    <w:p>
      <w:pPr>
        <w:pStyle w:val="Heading2"/>
      </w:pPr>
      <w:r>
        <w:t>Definition of done for Phase 1</w:t>
      </w:r>
    </w:p>
    <w:p>
      <w:pPr>
        <w:pStyle w:val="ListBullet"/>
        <w:spacing w:after="80" w:line="300" w:lineRule="auto"/>
        <w:ind w:left="540" w:hanging="271"/>
      </w:pPr>
      <w:r>
        <w:rPr>
          <w:rFonts w:ascii="Calibri" w:hAnsi="Calibri"/>
          <w:b w:val="0"/>
          <w:i w:val="0"/>
          <w:color w:val="20242A"/>
          <w:sz w:val="21"/>
        </w:rPr>
        <w:t>All projects target .NET 10 and build successfully.</w:t>
      </w:r>
    </w:p>
    <w:p>
      <w:pPr>
        <w:pStyle w:val="ListBullet"/>
        <w:spacing w:after="80" w:line="300" w:lineRule="auto"/>
        <w:ind w:left="540" w:hanging="271"/>
      </w:pPr>
      <w:r>
        <w:rPr>
          <w:rFonts w:ascii="Calibri" w:hAnsi="Calibri"/>
          <w:b w:val="0"/>
          <w:i w:val="0"/>
          <w:color w:val="20242A"/>
          <w:sz w:val="21"/>
        </w:rPr>
        <w:t>POST /bookings persists a Pending booking and publishes BookingCreated.</w:t>
      </w:r>
    </w:p>
    <w:p>
      <w:pPr>
        <w:pStyle w:val="ListBullet"/>
        <w:spacing w:after="80" w:line="300" w:lineRule="auto"/>
        <w:ind w:left="540" w:hanging="271"/>
      </w:pPr>
      <w:r>
        <w:rPr>
          <w:rFonts w:ascii="Calibri" w:hAnsi="Calibri"/>
          <w:b w:val="0"/>
          <w:i w:val="0"/>
          <w:color w:val="20242A"/>
          <w:sz w:val="21"/>
        </w:rPr>
        <w:t>The notification queue is durable and bound to booking.created.</w:t>
      </w:r>
    </w:p>
    <w:p>
      <w:pPr>
        <w:pStyle w:val="ListBullet"/>
        <w:spacing w:after="80" w:line="300" w:lineRule="auto"/>
        <w:ind w:left="540" w:hanging="271"/>
      </w:pPr>
      <w:r>
        <w:rPr>
          <w:rFonts w:ascii="Calibri" w:hAnsi="Calibri"/>
          <w:b w:val="0"/>
          <w:i w:val="0"/>
          <w:color w:val="20242A"/>
          <w:sz w:val="21"/>
        </w:rPr>
        <w:t>The worker logs the fake email and ACKs only after success.</w:t>
      </w:r>
    </w:p>
    <w:p>
      <w:pPr>
        <w:pStyle w:val="ListBullet"/>
        <w:spacing w:after="80" w:line="300" w:lineRule="auto"/>
        <w:ind w:left="540" w:hanging="271"/>
      </w:pPr>
      <w:r>
        <w:rPr>
          <w:rFonts w:ascii="Calibri" w:hAnsi="Calibri"/>
          <w:b w:val="0"/>
          <w:i w:val="0"/>
          <w:color w:val="20242A"/>
          <w:sz w:val="21"/>
        </w:rPr>
        <w:t>Failures are NACKed with requeue=false and are visible in logs.</w:t>
      </w:r>
    </w:p>
    <w:p>
      <w:pPr>
        <w:pStyle w:val="ListBullet"/>
        <w:spacing w:after="80" w:line="300" w:lineRule="auto"/>
        <w:ind w:left="540" w:hanging="271"/>
      </w:pPr>
      <w:r>
        <w:rPr>
          <w:rFonts w:ascii="Calibri" w:hAnsi="Calibri"/>
          <w:b w:val="0"/>
          <w:i w:val="0"/>
          <w:color w:val="20242A"/>
          <w:sz w:val="21"/>
        </w:rPr>
        <w:t>Controllers contain HTTP coordination, while services contain use-case logic.</w:t>
      </w:r>
    </w:p>
    <w:p>
      <w:pPr>
        <w:pStyle w:val="ListBullet"/>
        <w:spacing w:after="80" w:line="300" w:lineRule="auto"/>
        <w:ind w:left="540" w:hanging="271"/>
      </w:pPr>
      <w:r>
        <w:rPr>
          <w:rFonts w:ascii="Calibri" w:hAnsi="Calibri"/>
          <w:b w:val="0"/>
          <w:i w:val="0"/>
          <w:color w:val="20242A"/>
          <w:sz w:val="21"/>
        </w:rPr>
        <w:t>No ticketing, payment, invoice, MassTransit, or premature framework abstractions are introduced.</w:t>
      </w:r>
    </w:p>
    <w:p>
      <w:pPr>
        <w:pStyle w:val="Heading2"/>
      </w:pPr>
      <w:r>
        <w:t>Proposed Booking API tree</w:t>
      </w:r>
    </w:p>
    <w:p>
      <w:pPr>
        <w:spacing w:before="80" w:after="120"/>
        <w:ind w:left="360"/>
      </w:pPr>
      <w:r>
        <w:rPr>
          <w:rFonts w:ascii="Consolas" w:hAnsi="Consolas"/>
          <w:b w:val="0"/>
          <w:i w:val="0"/>
          <w:color w:val="1F4D78"/>
          <w:sz w:val="18"/>
        </w:rPr>
        <w:t>OperaHouse.Booking.Api/</w:t>
        <w:br/>
        <w:t>|-- Controllers/</w:t>
        <w:br/>
        <w:t>|   |-- BookingsController.cs</w:t>
        <w:br/>
        <w:t>|   `-- PerformancesController.cs</w:t>
        <w:br/>
        <w:t>|-- Services/</w:t>
        <w:br/>
        <w:t>|   |-- IBookingService.cs</w:t>
        <w:br/>
        <w:t>|   |-- BookingService.cs</w:t>
        <w:br/>
        <w:t>|   |-- IPerformanceService.cs</w:t>
        <w:br/>
        <w:t>|   `-- PerformanceService.cs</w:t>
        <w:br/>
        <w:t>|-- Data/BookingDbContext.cs</w:t>
        <w:br/>
        <w:t>|-- Entities/Booking.cs, Performance.cs</w:t>
        <w:br/>
        <w:t>|-- DTOs/Bookings/, Performances/</w:t>
        <w:br/>
        <w:t>|-- Configuration/</w:t>
        <w:br/>
        <w:t>`-- Program.cs</w:t>
      </w:r>
    </w:p>
    <w:sectPr w:rsidR="00FC693F" w:rsidRPr="0006063C" w:rsidSect="00034616">
      <w:headerReference w:type="default" r:id="rId9"/>
      <w:footerReference w:type="default" r:id="rId10"/>
      <w:pgSz w:w="12240" w:h="15840"/>
      <w:pgMar w:top="1080" w:right="1440" w:bottom="1080"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A75"/>
        <w:sz w:val="17"/>
      </w:rPr>
      <w:t xml:space="preserve">OperaHouse Phase 1  |  </w:t>
    </w:r>
    <w:r>
      <w:rPr>
        <w:rFonts w:ascii="Calibri" w:hAnsi="Calibri"/>
        <w:b w:val="0"/>
        <w:i w:val="0"/>
        <w:color w:val="5E6A7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E6A75"/>
        <w:sz w:val="17"/>
      </w:rPr>
      <w:t>OPERA HOUSE  /  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E6A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OperaHouse Phase 1 Architecture Design</dc:title>
  <dc:subject>Learning-first RabbitMQ architecture for .NET 10</dc:subject>
  <dc:creator>OperaHouse Project</dc:creator>
  <cp:keywords>OperaHouse, RabbitMQ, .NET 10, architecture, booking</cp:keywords>
  <dc:description>generated by python-docx</dc:description>
  <cp:lastModifiedBy/>
  <cp:revision>1</cp:revision>
  <dcterms:created xsi:type="dcterms:W3CDTF">2013-12-23T23:15:00Z</dcterms:created>
  <dcterms:modified xsi:type="dcterms:W3CDTF">2013-12-23T23:15:00Z</dcterms:modified>
  <cp:category/>
</cp:coreProperties>
</file>