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常见问题解决方案</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真人卡审核</w:t>
      </w:r>
      <w:bookmarkEnd w:id="0"/>
    </w:p>
    <w:p>
      <w:pPr>
        <w:numPr>
          <w:numId w:val="1"/>
        </w:numPr>
        <w:spacing w:before="120" w:after="120" w:line="288" w:lineRule="auto"/>
        <w:ind w:left="453"/>
        <w:jc w:val="left"/>
      </w:pPr>
      <w:r>
        <w:rPr>
          <w:rFonts w:eastAsia="等线" w:ascii="Arial" w:cs="Arial" w:hAnsi="Arial"/>
          <w:sz w:val="22"/>
        </w:rPr>
        <w:t xml:space="preserve"> 点击素材上方校验工具，通过校验后即可正常使用。</w:t>
      </w:r>
    </w:p>
    <w:p>
      <w:pPr>
        <w:spacing w:before="120" w:after="120" w:line="288" w:lineRule="auto"/>
        <w:ind w:left="453"/>
        <w:jc w:val="center"/>
      </w:pPr>
      <w:r>
        <w:drawing>
          <wp:inline distT="0" distR="0" distB="0" distL="0">
            <wp:extent cx="5257800" cy="2819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19400"/>
                    </a:xfrm>
                    <a:prstGeom prst="rect">
                      <a:avLst/>
                    </a:prstGeom>
                  </pic:spPr>
                </pic:pic>
              </a:graphicData>
            </a:graphic>
          </wp:inline>
        </w:drawing>
      </w:r>
    </w:p>
    <w:p>
      <w:pPr>
        <w:numPr>
          <w:numId w:val="2"/>
        </w:numPr>
        <w:spacing w:before="120" w:after="120" w:line="288" w:lineRule="auto"/>
        <w:ind w:left="453"/>
        <w:jc w:val="left"/>
      </w:pPr>
      <w:r>
        <w:rPr>
          <w:rFonts w:eastAsia="等线" w:ascii="Arial" w:cs="Arial" w:hAnsi="Arial"/>
          <w:sz w:val="22"/>
        </w:rPr>
        <w:t>素材较多时，也可在全能参考模式中点击“批量”按钮进行批量验证。</w:t>
      </w:r>
    </w:p>
    <w:p>
      <w:pPr>
        <w:spacing w:before="120" w:after="120" w:line="288" w:lineRule="auto"/>
        <w:ind w:left="453"/>
        <w:jc w:val="center"/>
      </w:pPr>
      <w:r>
        <w:drawing>
          <wp:inline distT="0" distR="0" distB="0" distL="0">
            <wp:extent cx="5257800" cy="819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敏感信息拦截</w:t>
      </w:r>
      <w:bookmarkEnd w:id="1"/>
    </w:p>
    <w:p>
      <w:pPr>
        <w:spacing w:before="120" w:after="120" w:line="288" w:lineRule="auto"/>
        <w:ind w:left="453"/>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numPr>
          <w:numId w:val="3"/>
        </w:numPr>
        <w:spacing w:before="120" w:after="120" w:line="288" w:lineRule="auto"/>
        <w:ind w:left="453"/>
        <w:jc w:val="left"/>
      </w:pPr>
      <w:r>
        <w:rPr>
          <w:rFonts w:eastAsia="等线" w:ascii="Arial" w:cs="Arial" w:hAnsi="Arial"/>
          <w:sz w:val="22"/>
        </w:rPr>
        <w:t>建议先检查提示词中是否有涉政涉黄等敏感信息。</w:t>
      </w:r>
    </w:p>
    <w:p>
      <w:pPr>
        <w:numPr>
          <w:numId w:val="4"/>
        </w:numPr>
        <w:spacing w:before="120" w:after="120" w:line="288" w:lineRule="auto"/>
        <w:ind w:left="453"/>
        <w:jc w:val="left"/>
      </w:pPr>
      <w:r>
        <w:rPr>
          <w:rFonts w:eastAsia="等线" w:ascii="Arial" w:cs="Arial" w:hAnsi="Arial"/>
          <w:sz w:val="22"/>
        </w:rPr>
        <w:t>如果自查后仍无法解决，可以将TaskID复制后再产品交流群中发送给客服，客服将会帮助您排查问题。</w:t>
      </w:r>
    </w:p>
    <w:p>
      <w:pPr>
        <w:numPr>
          <w:numId w:val="5"/>
        </w:numPr>
        <w:spacing w:before="120" w:after="120" w:line="288" w:lineRule="auto"/>
        <w:ind w:left="453"/>
        <w:jc w:val="left"/>
      </w:pPr>
      <w:r>
        <w:rPr>
          <w:rFonts w:eastAsia="等线" w:ascii="Arial" w:cs="Arial" w:hAnsi="Arial"/>
          <w:sz w:val="22"/>
        </w:rPr>
        <w:t>被拦截的视频会返还积分。</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版权限制拦截</w:t>
      </w:r>
      <w:bookmarkEnd w:id="2"/>
    </w:p>
    <w:p>
      <w:pPr>
        <w:spacing w:before="120" w:after="120" w:line="288" w:lineRule="auto"/>
        <w:ind w:left="453"/>
        <w:jc w:val="center"/>
      </w:pPr>
      <w:r>
        <w:drawing>
          <wp:inline distT="0" distR="0" distB="0" distL="0">
            <wp:extent cx="5257800"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43225"/>
                    </a:xfrm>
                    <a:prstGeom prst="rect">
                      <a:avLst/>
                    </a:prstGeom>
                  </pic:spPr>
                </pic:pic>
              </a:graphicData>
            </a:graphic>
          </wp:inline>
        </w:drawing>
      </w:r>
    </w:p>
    <w:p>
      <w:pPr>
        <w:numPr>
          <w:numId w:val="6"/>
        </w:numPr>
        <w:spacing w:before="120" w:after="120" w:line="288" w:lineRule="auto"/>
        <w:ind w:left="453"/>
        <w:jc w:val="left"/>
      </w:pPr>
      <w:r>
        <w:rPr>
          <w:rFonts w:eastAsia="等线" w:ascii="Arial" w:cs="Arial" w:hAnsi="Arial"/>
          <w:sz w:val="22"/>
        </w:rPr>
        <w:t>如果您的素材确实与版权角色相似度较高，建议修改自己的素材或者增加尝试次数。</w:t>
      </w:r>
    </w:p>
    <w:p>
      <w:pPr>
        <w:numPr>
          <w:numId w:val="7"/>
        </w:numPr>
        <w:spacing w:before="120" w:after="120" w:line="288" w:lineRule="auto"/>
        <w:ind w:left="453"/>
        <w:jc w:val="left"/>
      </w:pPr>
      <w:r>
        <w:rPr>
          <w:rFonts w:eastAsia="等线" w:ascii="Arial" w:cs="Arial" w:hAnsi="Arial"/>
          <w:sz w:val="22"/>
        </w:rPr>
        <w:t>也可能是因为参考图中人脸占比过小导致的人脸漂移进而触发版权问题。建议采取下列方式强化人脸参考的独立性和权重:(1)准备人脸特写图:在原有全身照之外，额外准备1张只包含角色头部的人脸特写图(大头照，仅保留面部，无表情最佳，尽量减少肩颈、背景等干扰元素);(2)提示词中主体定义清晰:&lt;主体1&gt;的面部特征参考图片1(大头照)，妆造参考图片2(全身照);(3)重要素材前置:越需要 精准参考 的素材，放在提示词中越靠前的位置;(4)注意人物参考使用大头照+全身照即可，不建议使用人物多视图。多视图素材包含同一人物的不同角度模型易将其识别为多个不同主体，反而加剧ID漂移问题。</w:t>
      </w:r>
    </w:p>
    <w:p>
      <w:pPr>
        <w:spacing w:before="120" w:after="120" w:line="288" w:lineRule="auto"/>
        <w:ind w:left="453"/>
        <w:jc w:val="center"/>
      </w:pPr>
      <w:r>
        <w:drawing>
          <wp:inline distT="0" distR="0" distB="0" distL="0">
            <wp:extent cx="2819400" cy="22955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819400" cy="2295525"/>
                    </a:xfrm>
                    <a:prstGeom prst="rect">
                      <a:avLst/>
                    </a:prstGeom>
                  </pic:spPr>
                </pic:pic>
              </a:graphicData>
            </a:graphic>
          </wp:inline>
        </w:drawing>
      </w:r>
    </w:p>
    <w:p>
      <w:pPr>
        <w:numPr>
          <w:numId w:val="8"/>
        </w:numPr>
        <w:spacing w:before="120" w:after="120" w:line="288" w:lineRule="auto"/>
        <w:ind w:left="453"/>
        <w:jc w:val="left"/>
      </w:pPr>
      <w:r>
        <w:rPr>
          <w:rFonts w:eastAsia="等线" w:ascii="Arial" w:cs="Arial" w:hAnsi="Arial"/>
          <w:sz w:val="22"/>
        </w:rPr>
        <w:t>如果按照上述方式修改后如果仍出现版权问题，建议多次提交增加尝试次数或将TaskID发送给客服查询设计版权。</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视频或节点丢失</w:t>
      </w:r>
      <w:bookmarkEnd w:id="3"/>
    </w:p>
    <w:p>
      <w:pPr>
        <w:spacing w:before="120" w:after="120" w:line="288" w:lineRule="auto"/>
        <w:ind w:left="453"/>
        <w:jc w:val="center"/>
      </w:pPr>
      <w:r>
        <w:drawing>
          <wp:inline distT="0" distR="0" distB="0" distL="0">
            <wp:extent cx="5257800" cy="2867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867025"/>
                    </a:xfrm>
                    <a:prstGeom prst="rect">
                      <a:avLst/>
                    </a:prstGeom>
                  </pic:spPr>
                </pic:pic>
              </a:graphicData>
            </a:graphic>
          </wp:inline>
        </w:drawing>
      </w:r>
    </w:p>
    <w:p>
      <w:pPr>
        <w:numPr>
          <w:numId w:val="9"/>
        </w:numPr>
        <w:spacing w:before="120" w:after="120" w:line="288" w:lineRule="auto"/>
        <w:ind w:left="453"/>
        <w:jc w:val="left"/>
      </w:pPr>
      <w:r>
        <w:rPr>
          <w:rFonts w:eastAsia="等线" w:ascii="Arial" w:cs="Arial" w:hAnsi="Arial"/>
          <w:sz w:val="22"/>
        </w:rPr>
        <w:t>可以参考图片中的标注来找到生成记录。</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视频中包含字幕</w:t>
      </w:r>
      <w:bookmarkEnd w:id="4"/>
    </w:p>
    <w:p>
      <w:pPr>
        <w:numPr>
          <w:numId w:val="10"/>
        </w:numPr>
        <w:spacing w:before="120" w:after="120" w:line="288" w:lineRule="auto"/>
        <w:ind w:left="453"/>
        <w:jc w:val="left"/>
      </w:pPr>
      <w:r>
        <w:rPr>
          <w:rFonts w:eastAsia="等线" w:ascii="Arial" w:cs="Arial" w:hAnsi="Arial"/>
          <w:sz w:val="22"/>
        </w:rPr>
        <w:t>目前无法直接做到 100% 避免生成字幕，只能通过以下方法降低其出现概率、提升抽卡成功率。（1）在提示词中加入明确的约束指令：“保持无字幕”、“避免生成任何文字或字幕”；（2）如果参考的图片/视频中包含的文字并非必要信息，建议先通过工具去除文字（例如使用 Seedream/ Seedance 模型的图片/视频编辑能力），再使用无文字素材作为输入；（3）在业务允许的前提下，优先选择横屏尺寸生成视频（横屏生成字幕的概率明显低于竖屏），后续可通过剪辑软件裁剪为竖屏。</w:t>
      </w:r>
    </w:p>
    <w:p>
      <w:pPr>
        <w:numPr>
          <w:numId w:val="11"/>
        </w:numPr>
        <w:spacing w:before="120" w:after="120" w:line="288" w:lineRule="auto"/>
        <w:ind w:left="453"/>
        <w:jc w:val="left"/>
      </w:pPr>
      <w:r>
        <w:rPr>
          <w:rFonts w:eastAsia="等线" w:ascii="Arial" w:cs="Arial" w:hAnsi="Arial"/>
          <w:sz w:val="22"/>
        </w:rPr>
        <w:t>seedance官方提供了免费去字幕功能，该系列模型生成出的视频可以在23h内免费去除字幕。</w:t>
      </w:r>
    </w:p>
    <w:p>
      <w:pPr>
        <w:spacing w:before="120" w:after="120" w:line="288" w:lineRule="auto"/>
        <w:ind w:left="453"/>
        <w:jc w:val="center"/>
      </w:pPr>
      <w:r>
        <w:drawing>
          <wp:inline distT="0" distR="0" distB="0" distL="0">
            <wp:extent cx="5257800" cy="16478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6478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视频中有水印</w:t>
      </w:r>
      <w:bookmarkEnd w:id="5"/>
    </w:p>
    <w:p>
      <w:pPr>
        <w:numPr>
          <w:numId w:val="12"/>
        </w:numPr>
        <w:spacing w:before="120" w:after="120" w:line="288" w:lineRule="auto"/>
        <w:ind w:left="453"/>
        <w:jc w:val="left"/>
      </w:pPr>
      <w:r>
        <w:rPr>
          <w:rFonts w:eastAsia="等线" w:ascii="Arial" w:cs="Arial" w:hAnsi="Arial"/>
          <w:sz w:val="22"/>
        </w:rPr>
        <w:t>在提示词中加入明确的约束指令：“不要生成水印”、“不要生成Logo” 。</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7. </w:t>
      </w:r>
      <w:r>
        <w:rPr>
          <w:rFonts w:eastAsia="等线" w:ascii="Arial" w:cs="Arial" w:hAnsi="Arial"/>
          <w:b w:val="true"/>
          <w:sz w:val="32"/>
        </w:rPr>
        <w:t>视频风格漂移</w:t>
      </w:r>
      <w:bookmarkEnd w:id="6"/>
    </w:p>
    <w:p>
      <w:pPr>
        <w:numPr>
          <w:numId w:val="13"/>
        </w:numPr>
        <w:spacing w:before="120" w:after="120" w:line="288" w:lineRule="auto"/>
        <w:ind w:left="453"/>
        <w:jc w:val="left"/>
      </w:pPr>
      <w:r>
        <w:rPr>
          <w:rFonts w:eastAsia="等线" w:ascii="Arial" w:cs="Arial" w:hAnsi="Arial"/>
          <w:sz w:val="22"/>
        </w:rPr>
        <w:t>在提示词中加入明确的风格约束词，例如“2D日漫风格”、“3D国风漫画”。如果需要更精准的风格控制，建议将参考图先变为目标风格再进行生视频。</w:t>
      </w:r>
    </w:p>
    <w:p>
      <w:pPr>
        <w:numPr>
          <w:numId w:val="14"/>
        </w:numPr>
        <w:spacing w:before="120" w:after="120" w:line="288" w:lineRule="auto"/>
        <w:ind w:left="453"/>
        <w:jc w:val="left"/>
      </w:pPr>
      <w:r>
        <w:rPr>
          <w:rFonts w:eastAsia="等线" w:ascii="Arial" w:cs="Arial" w:hAnsi="Arial"/>
          <w:sz w:val="22"/>
        </w:rPr>
        <w:t>注意：参考图风格不一致可能会影响到生成视频的风格！</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8. </w:t>
      </w:r>
      <w:r>
        <w:rPr>
          <w:rFonts w:eastAsia="等线" w:ascii="Arial" w:cs="Arial" w:hAnsi="Arial"/>
          <w:b w:val="true"/>
          <w:sz w:val="32"/>
        </w:rPr>
        <w:t>双胞胎问题</w:t>
      </w:r>
      <w:bookmarkEnd w:id="7"/>
    </w:p>
    <w:p>
      <w:pPr>
        <w:spacing w:before="120" w:after="120" w:line="288" w:lineRule="auto"/>
        <w:ind w:left="0"/>
        <w:jc w:val="left"/>
      </w:pPr>
      <w:r>
        <w:rPr>
          <w:rFonts w:eastAsia="等线" w:ascii="Arial" w:cs="Arial" w:hAnsi="Arial"/>
          <w:sz w:val="22"/>
        </w:rPr>
        <w:t>目前无法直接做到 100% 避免双胞胎问题，只能通过以下方法降低其出现概率、提升抽卡成功率。</w:t>
      </w:r>
    </w:p>
    <w:p>
      <w:pPr>
        <w:numPr>
          <w:numId w:val="15"/>
        </w:numPr>
        <w:spacing w:before="120" w:after="120" w:line="288" w:lineRule="auto"/>
        <w:ind w:left="453"/>
        <w:jc w:val="left"/>
      </w:pPr>
      <w:r>
        <w:rPr>
          <w:rFonts w:eastAsia="等线" w:ascii="Arial" w:cs="Arial" w:hAnsi="Arial"/>
          <w:sz w:val="22"/>
        </w:rPr>
        <w:t>明确人物主体关联</w:t>
      </w:r>
    </w:p>
    <w:p>
      <w:pPr>
        <w:spacing w:before="120" w:after="120" w:line="288" w:lineRule="auto"/>
        <w:ind w:left="0"/>
        <w:jc w:val="left"/>
      </w:pPr>
      <w:r>
        <w:rPr>
          <w:rFonts w:eastAsia="等线" w:ascii="Arial" w:cs="Arial" w:hAnsi="Arial"/>
          <w:sz w:val="22"/>
        </w:rPr>
        <w:t>在提示词中清晰定义每个人物角色，明确角色与参考图的对应关系。建议在人物名称后标注对应参考图，并保持格式统一。</w:t>
      </w:r>
    </w:p>
    <w:p>
      <w:pPr>
        <w:spacing w:before="120" w:after="120" w:line="288" w:lineRule="auto"/>
        <w:ind w:left="0"/>
        <w:jc w:val="left"/>
      </w:pPr>
      <w:r>
        <w:rPr>
          <w:rFonts w:eastAsia="等线" w:ascii="Arial" w:cs="Arial" w:hAnsi="Arial"/>
          <w:sz w:val="22"/>
        </w:rPr>
        <w:t>示例：张三（对应图片 1）将绿色存折扔向站立的李四（对应图片 2）。</w:t>
      </w:r>
    </w:p>
    <w:p>
      <w:pPr>
        <w:numPr>
          <w:numId w:val="16"/>
        </w:numPr>
        <w:spacing w:before="120" w:after="120" w:line="288" w:lineRule="auto"/>
        <w:ind w:left="453"/>
        <w:jc w:val="left"/>
      </w:pPr>
      <w:r>
        <w:rPr>
          <w:rFonts w:eastAsia="等线" w:ascii="Arial" w:cs="Arial" w:hAnsi="Arial"/>
          <w:sz w:val="22"/>
        </w:rPr>
        <w:t>添加全局约束指令</w:t>
      </w:r>
    </w:p>
    <w:p>
      <w:pPr>
        <w:spacing w:before="120" w:after="120" w:line="288" w:lineRule="auto"/>
        <w:ind w:left="0"/>
        <w:jc w:val="left"/>
      </w:pPr>
      <w:r>
        <w:rPr>
          <w:rFonts w:eastAsia="等线" w:ascii="Arial" w:cs="Arial" w:hAnsi="Arial"/>
          <w:sz w:val="22"/>
        </w:rPr>
        <w:t>在提示词末尾增加固定约束： 视频全程禁止出现外形、着装、配饰完全一致的人物，禁止生成同款分身、双胞胎效果，同一画面中仅保留单个对应人物，不出现人物重复复刻 。</w:t>
      </w:r>
    </w:p>
    <w:p>
      <w:pPr>
        <w:numPr>
          <w:numId w:val="17"/>
        </w:numPr>
        <w:spacing w:before="120" w:after="120" w:line="288" w:lineRule="auto"/>
        <w:ind w:left="453"/>
        <w:jc w:val="left"/>
      </w:pPr>
      <w:r>
        <w:rPr>
          <w:rFonts w:eastAsia="等线" w:ascii="Arial" w:cs="Arial" w:hAnsi="Arial"/>
          <w:sz w:val="22"/>
        </w:rPr>
        <w:t>优化参考素材</w:t>
      </w:r>
    </w:p>
    <w:p>
      <w:pPr>
        <w:spacing w:before="120" w:after="120" w:line="288" w:lineRule="auto"/>
        <w:ind w:left="0"/>
        <w:jc w:val="left"/>
      </w:pPr>
      <w:r>
        <w:rPr>
          <w:rFonts w:eastAsia="等线" w:ascii="Arial" w:cs="Arial" w:hAnsi="Arial"/>
          <w:sz w:val="22"/>
        </w:rPr>
        <w:t>人物参考图优先使用单人独立照片，不建议使用三视图、多视图素材。</w:t>
      </w:r>
    </w:p>
    <w:p>
      <w:pPr>
        <w:numPr>
          <w:numId w:val="18"/>
        </w:numPr>
        <w:spacing w:before="120" w:after="120" w:line="288" w:lineRule="auto"/>
        <w:ind w:left="453"/>
        <w:jc w:val="left"/>
      </w:pPr>
      <w:r>
        <w:rPr>
          <w:rFonts w:eastAsia="等线" w:ascii="Arial" w:cs="Arial" w:hAnsi="Arial"/>
          <w:sz w:val="22"/>
        </w:rPr>
        <w:t>精简优化提示词</w:t>
      </w:r>
    </w:p>
    <w:p>
      <w:pPr>
        <w:spacing w:before="120" w:after="120" w:line="288" w:lineRule="auto"/>
        <w:ind w:left="0"/>
        <w:jc w:val="left"/>
      </w:pPr>
      <w:r>
        <w:rPr>
          <w:rFonts w:eastAsia="等线" w:ascii="Arial" w:cs="Arial" w:hAnsi="Arial"/>
          <w:sz w:val="22"/>
        </w:rPr>
        <w:t>请勿直接将完整剧本作为提示词使用，文案内容过度冗余易造成模型理解混乱，需精简无关表述、保证指令清晰聚焦。</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9. </w:t>
      </w:r>
      <w:r>
        <w:rPr>
          <w:rFonts w:eastAsia="等线" w:ascii="Arial" w:cs="Arial" w:hAnsi="Arial"/>
          <w:b w:val="true"/>
          <w:sz w:val="32"/>
        </w:rPr>
        <w:t>中文发音不准</w:t>
      </w:r>
      <w:bookmarkEnd w:id="8"/>
    </w:p>
    <w:p>
      <w:pPr>
        <w:numPr>
          <w:numId w:val="19"/>
        </w:numPr>
        <w:spacing w:before="120" w:after="120" w:line="288" w:lineRule="auto"/>
        <w:ind w:left="453"/>
        <w:jc w:val="left"/>
      </w:pPr>
      <w:r>
        <w:rPr>
          <w:rFonts w:eastAsia="等线" w:ascii="Arial" w:cs="Arial" w:hAnsi="Arial"/>
          <w:sz w:val="22"/>
        </w:rPr>
        <w:t xml:space="preserve">可将易读错文字替换为 </w:t>
      </w:r>
      <w:r>
        <w:rPr>
          <w:rFonts w:eastAsia="等线" w:ascii="Arial" w:cs="Arial" w:hAnsi="Arial"/>
          <w:b w:val="true"/>
          <w:sz w:val="22"/>
        </w:rPr>
        <w:t>发音一致的常用同音字</w:t>
      </w:r>
      <w:r>
        <w:rPr>
          <w:rFonts w:eastAsia="等线" w:ascii="Arial" w:cs="Arial" w:hAnsi="Arial"/>
          <w:sz w:val="22"/>
        </w:rPr>
        <w:t xml:space="preserve"> ，规避发音偏差，还原预期音频效果。注意该方案仅为优化手段，无法完全规避所有发音问题。示例：可将提示词中“螭龙山”改写为同音字“吃龙山”。</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10. </w:t>
      </w:r>
      <w:r>
        <w:rPr>
          <w:rFonts w:eastAsia="等线" w:ascii="Arial" w:cs="Arial" w:hAnsi="Arial"/>
          <w:b w:val="true"/>
          <w:sz w:val="32"/>
        </w:rPr>
        <w:t>提示词教程</w:t>
      </w:r>
      <w:bookmarkEnd w:id="9"/>
    </w:p>
    <w:p>
      <w:pPr>
        <w:numPr>
          <w:numId w:val="20"/>
        </w:numPr>
        <w:spacing w:before="120" w:after="120" w:line="288" w:lineRule="auto"/>
        <w:ind w:left="453"/>
        <w:jc w:val="left"/>
      </w:pPr>
      <w:r>
        <w:rPr>
          <w:rFonts w:eastAsia="等线" w:ascii="Arial" w:cs="Arial" w:hAnsi="Arial"/>
          <w:sz w:val="22"/>
        </w:rPr>
        <w:t>sd2.5提示词参考：</w:t>
      </w:r>
      <w:r>
        <w:rPr>
          <w:rFonts w:eastAsia="等线" w:ascii="Arial" w:cs="Arial" w:hAnsi="Arial"/>
          <w:sz w:val="22"/>
        </w:rPr>
        <w:t>https://docs.volcengine.com/docs/82379/2607689?lang=zh</w:t>
      </w:r>
    </w:p>
    <w:p>
      <w:pPr>
        <w:numPr>
          <w:numId w:val="21"/>
        </w:numPr>
        <w:spacing w:before="120" w:after="120" w:line="288" w:lineRule="auto"/>
        <w:ind w:left="453"/>
        <w:jc w:val="left"/>
      </w:pPr>
      <w:r>
        <w:rPr>
          <w:rFonts w:eastAsia="等线" w:ascii="Arial" w:cs="Arial" w:hAnsi="Arial"/>
          <w:sz w:val="22"/>
        </w:rPr>
        <w:t>sd2.0提示词参考：</w:t>
      </w:r>
      <w:r>
        <w:rPr>
          <w:rFonts w:eastAsia="等线" w:ascii="Arial" w:cs="Arial" w:hAnsi="Arial"/>
          <w:sz w:val="22"/>
        </w:rPr>
        <w:t>https://docs.volcengine.com/docs/82379/2222480?lang=zh</w:t>
      </w:r>
    </w:p>
    <w:p>
      <w:pPr>
        <w:numPr>
          <w:numId w:val="22"/>
        </w:numPr>
        <w:spacing w:before="120" w:after="120" w:line="288" w:lineRule="auto"/>
        <w:ind w:left="453"/>
        <w:jc w:val="left"/>
      </w:pPr>
      <w:r>
        <w:rPr>
          <w:rFonts w:eastAsia="等线" w:ascii="Arial" w:cs="Arial" w:hAnsi="Arial"/>
          <w:sz w:val="22"/>
        </w:rPr>
        <w:t>MiniMax H3 模型 - 使用手册</w:t>
      </w:r>
      <w:hyperlink r:id="rId12">
        <w:r>
          <w:rPr>
            <w:rFonts w:eastAsia="等线" w:ascii="Arial" w:cs="Arial" w:hAnsi="Arial"/>
            <w:color w:val="3370ff"/>
            <w:sz w:val="22"/>
          </w:rPr>
          <w:t>🐚MiniMax H3 模型 - 使用手册</w:t>
        </w:r>
      </w:hyperlink>
    </w:p>
    <w:p>
      <w:pPr>
        <w:numPr>
          <w:numId w:val="23"/>
        </w:numPr>
        <w:spacing w:before="120" w:after="120" w:line="288" w:lineRule="auto"/>
        <w:ind w:left="453"/>
        <w:jc w:val="left"/>
      </w:pPr>
      <w:r>
        <w:rPr>
          <w:rFonts w:eastAsia="等线" w:ascii="Arial" w:cs="Arial" w:hAnsi="Arial"/>
          <w:sz w:val="22"/>
        </w:rPr>
        <w:t>Wan 3.0视频创作者手册：</w:t>
      </w:r>
      <w:r>
        <w:rPr>
          <w:rFonts w:eastAsia="等线" w:ascii="Arial" w:cs="Arial" w:hAnsi="Arial"/>
          <w:sz w:val="22"/>
        </w:rPr>
        <w:t>https://alidocs.dingtalk.com/i/nodes/qnYMoO1rWxrkmoj2IjExdZLBJ47Z3je9?utm_medium=dingdoc_doc_plugin_url&amp;utm_scene=team_space&amp;utm_source=dingdoc_doc</w:t>
      </w:r>
    </w:p>
    <w:p>
      <w:pPr>
        <w:numPr>
          <w:numId w:val="24"/>
        </w:numPr>
        <w:spacing w:before="120" w:after="120" w:line="288" w:lineRule="auto"/>
        <w:ind w:left="453"/>
        <w:jc w:val="left"/>
      </w:pPr>
      <w:r>
        <w:rPr>
          <w:rFonts w:eastAsia="等线" w:ascii="Arial" w:cs="Arial" w:hAnsi="Arial"/>
          <w:sz w:val="22"/>
        </w:rPr>
        <w:t>草帽小蔡笔记：</w:t>
      </w:r>
      <w:r>
        <w:rPr>
          <w:rFonts w:eastAsia="等线" w:ascii="Arial" w:cs="Arial" w:hAnsi="Arial"/>
          <w:sz w:val="22"/>
        </w:rPr>
        <w:t>https://w-3d4po.neowow.studio/</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11. </w:t>
      </w:r>
      <w:r>
        <w:rPr>
          <w:rFonts w:eastAsia="等线" w:ascii="Arial" w:cs="Arial" w:hAnsi="Arial"/>
          <w:b w:val="true"/>
          <w:sz w:val="32"/>
        </w:rPr>
        <w:t>智能体生成到一半卡住</w:t>
      </w:r>
      <w:bookmarkEnd w:id="10"/>
    </w:p>
    <w:p>
      <w:pPr>
        <w:numPr>
          <w:numId w:val="25"/>
        </w:numPr>
        <w:spacing w:before="120" w:after="120" w:line="288" w:lineRule="auto"/>
        <w:ind w:left="453"/>
        <w:jc w:val="left"/>
      </w:pPr>
      <w:r>
        <w:rPr>
          <w:rFonts w:eastAsia="等线" w:ascii="Arial" w:cs="Arial" w:hAnsi="Arial"/>
          <w:sz w:val="22"/>
        </w:rPr>
        <w:t>对话框输入“继续”即可继续之前的任务。</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12. </w:t>
      </w:r>
      <w:r>
        <w:rPr>
          <w:rFonts w:eastAsia="等线" w:ascii="Arial" w:cs="Arial" w:hAnsi="Arial"/>
          <w:b w:val="true"/>
          <w:sz w:val="32"/>
        </w:rPr>
        <w:t>积分发放与过期</w:t>
      </w:r>
      <w:bookmarkEnd w:id="11"/>
    </w:p>
    <w:p>
      <w:pPr>
        <w:numPr>
          <w:numId w:val="26"/>
        </w:numPr>
        <w:spacing w:before="120" w:after="120" w:line="288" w:lineRule="auto"/>
        <w:ind w:left="453"/>
        <w:jc w:val="left"/>
      </w:pPr>
      <w:r>
        <w:rPr>
          <w:rFonts w:eastAsia="等线" w:ascii="Arial" w:cs="Arial" w:hAnsi="Arial"/>
          <w:sz w:val="22"/>
        </w:rPr>
        <w:t>每日赠送积分和订阅积分都会在每天凌晨陆续发放。</w:t>
      </w:r>
    </w:p>
    <w:p>
      <w:pPr>
        <w:numPr>
          <w:numId w:val="27"/>
        </w:numPr>
        <w:spacing w:before="120" w:after="120" w:line="288" w:lineRule="auto"/>
        <w:ind w:left="453"/>
        <w:jc w:val="left"/>
      </w:pPr>
      <w:r>
        <w:rPr>
          <w:rFonts w:eastAsia="等线" w:ascii="Arial" w:cs="Arial" w:hAnsi="Arial"/>
          <w:sz w:val="22"/>
        </w:rPr>
        <w:t>每日赠送积分会在次日失效。订阅积分每月过期。团队订阅积分在会员过期12个月后失效，如果期间续订会员，则随新会员周期延续。充值积分长期有效。</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13. </w:t>
      </w:r>
      <w:r>
        <w:rPr>
          <w:rFonts w:eastAsia="等线" w:ascii="Arial" w:cs="Arial" w:hAnsi="Arial"/>
          <w:b w:val="true"/>
          <w:sz w:val="32"/>
        </w:rPr>
        <w:t>协作画布积分不足</w:t>
      </w:r>
      <w:bookmarkEnd w:id="12"/>
    </w:p>
    <w:p>
      <w:pPr>
        <w:spacing w:before="120" w:after="120" w:line="288" w:lineRule="auto"/>
        <w:ind w:left="453"/>
        <w:jc w:val="center"/>
      </w:pPr>
      <w:r>
        <w:drawing>
          <wp:inline distT="0" distR="0" distB="0" distL="0">
            <wp:extent cx="4257675" cy="1724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4257675" cy="1724025"/>
                    </a:xfrm>
                    <a:prstGeom prst="rect">
                      <a:avLst/>
                    </a:prstGeom>
                  </pic:spPr>
                </pic:pic>
              </a:graphicData>
            </a:graphic>
          </wp:inline>
        </w:drawing>
      </w:r>
    </w:p>
    <w:p>
      <w:pPr>
        <w:spacing w:before="120" w:after="120" w:line="288" w:lineRule="auto"/>
        <w:ind w:left="453"/>
        <w:jc w:val="center"/>
      </w:pPr>
      <w:r>
        <w:drawing>
          <wp:inline distT="0" distR="0" distB="0" distL="0">
            <wp:extent cx="4248150" cy="2571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4248150" cy="2571750"/>
                    </a:xfrm>
                    <a:prstGeom prst="rect">
                      <a:avLst/>
                    </a:prstGeom>
                  </pic:spPr>
                </pic:pic>
              </a:graphicData>
            </a:graphic>
          </wp:inline>
        </w:drawing>
      </w:r>
    </w:p>
    <w:p>
      <w:pPr>
        <w:numPr>
          <w:numId w:val="28"/>
        </w:numPr>
        <w:spacing w:before="120" w:after="120" w:line="288" w:lineRule="auto"/>
        <w:ind w:left="453"/>
        <w:jc w:val="left"/>
      </w:pPr>
      <w:r>
        <w:rPr>
          <w:rFonts w:eastAsia="等线" w:ascii="Arial" w:cs="Arial" w:hAnsi="Arial"/>
          <w:sz w:val="22"/>
        </w:rPr>
        <w:t>按照上述步骤将充值积分或团队积分划转入协作画布即可。</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0907">
    <w:lvl>
      <w:start w:val="1"/>
      <w:numFmt w:val="lowerLetter"/>
      <w:suff w:val="tab"/>
      <w:lvlText w:val="%1."/>
      <w:rPr>
        <w:color w:val="3370ff"/>
      </w:rPr>
    </w:lvl>
  </w:abstractNum>
  <w:abstractNum w:abstractNumId="300908">
    <w:lvl>
      <w:start w:val="2"/>
      <w:numFmt w:val="lowerLetter"/>
      <w:suff w:val="tab"/>
      <w:lvlText w:val="%1."/>
      <w:rPr>
        <w:color w:val="3370ff"/>
      </w:rPr>
    </w:lvl>
  </w:abstractNum>
  <w:abstractNum w:abstractNumId="300909">
    <w:lvl>
      <w:start w:val="1"/>
      <w:numFmt w:val="lowerLetter"/>
      <w:suff w:val="tab"/>
      <w:lvlText w:val="%1."/>
      <w:rPr>
        <w:color w:val="3370ff"/>
      </w:rPr>
    </w:lvl>
  </w:abstractNum>
  <w:abstractNum w:abstractNumId="300910">
    <w:lvl>
      <w:start w:val="2"/>
      <w:numFmt w:val="lowerLetter"/>
      <w:suff w:val="tab"/>
      <w:lvlText w:val="%1."/>
      <w:rPr>
        <w:color w:val="3370ff"/>
      </w:rPr>
    </w:lvl>
  </w:abstractNum>
  <w:abstractNum w:abstractNumId="300911">
    <w:lvl>
      <w:start w:val="3"/>
      <w:numFmt w:val="lowerLetter"/>
      <w:suff w:val="tab"/>
      <w:lvlText w:val="%1."/>
      <w:rPr>
        <w:color w:val="3370ff"/>
      </w:rPr>
    </w:lvl>
  </w:abstractNum>
  <w:abstractNum w:abstractNumId="300912">
    <w:lvl>
      <w:start w:val="1"/>
      <w:numFmt w:val="lowerLetter"/>
      <w:suff w:val="tab"/>
      <w:lvlText w:val="%1."/>
      <w:rPr>
        <w:color w:val="3370ff"/>
      </w:rPr>
    </w:lvl>
  </w:abstractNum>
  <w:abstractNum w:abstractNumId="300913">
    <w:lvl>
      <w:start w:val="2"/>
      <w:numFmt w:val="lowerLetter"/>
      <w:suff w:val="tab"/>
      <w:lvlText w:val="%1."/>
      <w:rPr>
        <w:color w:val="3370ff"/>
      </w:rPr>
    </w:lvl>
  </w:abstractNum>
  <w:abstractNum w:abstractNumId="300914">
    <w:lvl>
      <w:start w:val="3"/>
      <w:numFmt w:val="lowerLetter"/>
      <w:suff w:val="tab"/>
      <w:lvlText w:val="%1."/>
      <w:rPr>
        <w:color w:val="3370ff"/>
      </w:rPr>
    </w:lvl>
  </w:abstractNum>
  <w:abstractNum w:abstractNumId="300915">
    <w:lvl>
      <w:start w:val="1"/>
      <w:numFmt w:val="lowerLetter"/>
      <w:suff w:val="tab"/>
      <w:lvlText w:val="%1."/>
      <w:rPr>
        <w:color w:val="3370ff"/>
      </w:rPr>
    </w:lvl>
  </w:abstractNum>
  <w:abstractNum w:abstractNumId="300916">
    <w:lvl>
      <w:start w:val="1"/>
      <w:numFmt w:val="lowerLetter"/>
      <w:suff w:val="tab"/>
      <w:lvlText w:val="%1."/>
      <w:rPr>
        <w:color w:val="3370ff"/>
      </w:rPr>
    </w:lvl>
  </w:abstractNum>
  <w:abstractNum w:abstractNumId="300917">
    <w:lvl>
      <w:start w:val="2"/>
      <w:numFmt w:val="lowerLetter"/>
      <w:suff w:val="tab"/>
      <w:lvlText w:val="%1."/>
      <w:rPr>
        <w:color w:val="3370ff"/>
      </w:rPr>
    </w:lvl>
  </w:abstractNum>
  <w:abstractNum w:abstractNumId="300918">
    <w:lvl>
      <w:start w:val="1"/>
      <w:numFmt w:val="lowerLetter"/>
      <w:suff w:val="tab"/>
      <w:lvlText w:val="%1."/>
      <w:rPr>
        <w:color w:val="3370ff"/>
      </w:rPr>
    </w:lvl>
  </w:abstractNum>
  <w:abstractNum w:abstractNumId="300919">
    <w:lvl>
      <w:start w:val="1"/>
      <w:numFmt w:val="lowerLetter"/>
      <w:suff w:val="tab"/>
      <w:lvlText w:val="%1."/>
      <w:rPr>
        <w:color w:val="3370ff"/>
      </w:rPr>
    </w:lvl>
  </w:abstractNum>
  <w:abstractNum w:abstractNumId="300920">
    <w:lvl>
      <w:start w:val="2"/>
      <w:numFmt w:val="lowerLetter"/>
      <w:suff w:val="tab"/>
      <w:lvlText w:val="%1."/>
      <w:rPr>
        <w:color w:val="3370ff"/>
      </w:rPr>
    </w:lvl>
  </w:abstractNum>
  <w:abstractNum w:abstractNumId="300921">
    <w:lvl>
      <w:start w:val="1"/>
      <w:numFmt w:val="lowerLetter"/>
      <w:suff w:val="tab"/>
      <w:lvlText w:val="%1."/>
      <w:rPr>
        <w:color w:val="3370ff"/>
      </w:rPr>
    </w:lvl>
  </w:abstractNum>
  <w:abstractNum w:abstractNumId="300922">
    <w:lvl>
      <w:start w:val="2"/>
      <w:numFmt w:val="lowerLetter"/>
      <w:suff w:val="tab"/>
      <w:lvlText w:val="%1."/>
      <w:rPr>
        <w:color w:val="3370ff"/>
      </w:rPr>
    </w:lvl>
  </w:abstractNum>
  <w:abstractNum w:abstractNumId="300923">
    <w:lvl>
      <w:start w:val="3"/>
      <w:numFmt w:val="lowerLetter"/>
      <w:suff w:val="tab"/>
      <w:lvlText w:val="%1."/>
      <w:rPr>
        <w:color w:val="3370ff"/>
      </w:rPr>
    </w:lvl>
  </w:abstractNum>
  <w:abstractNum w:abstractNumId="300924">
    <w:lvl>
      <w:start w:val="4"/>
      <w:numFmt w:val="lowerLetter"/>
      <w:suff w:val="tab"/>
      <w:lvlText w:val="%1."/>
      <w:rPr>
        <w:color w:val="3370ff"/>
      </w:rPr>
    </w:lvl>
  </w:abstractNum>
  <w:abstractNum w:abstractNumId="300925">
    <w:lvl>
      <w:start w:val="1"/>
      <w:numFmt w:val="lowerLetter"/>
      <w:suff w:val="tab"/>
      <w:lvlText w:val="%1."/>
      <w:rPr>
        <w:color w:val="3370ff"/>
      </w:rPr>
    </w:lvl>
  </w:abstractNum>
  <w:abstractNum w:abstractNumId="300926">
    <w:lvl>
      <w:start w:val="1"/>
      <w:numFmt w:val="lowerLetter"/>
      <w:suff w:val="tab"/>
      <w:lvlText w:val="%1."/>
      <w:rPr>
        <w:color w:val="3370ff"/>
      </w:rPr>
    </w:lvl>
  </w:abstractNum>
  <w:abstractNum w:abstractNumId="300927">
    <w:lvl>
      <w:start w:val="2"/>
      <w:numFmt w:val="lowerLetter"/>
      <w:suff w:val="tab"/>
      <w:lvlText w:val="%1."/>
      <w:rPr>
        <w:color w:val="3370ff"/>
      </w:rPr>
    </w:lvl>
  </w:abstractNum>
  <w:abstractNum w:abstractNumId="300928">
    <w:lvl>
      <w:start w:val="3"/>
      <w:numFmt w:val="lowerLetter"/>
      <w:suff w:val="tab"/>
      <w:lvlText w:val="%1."/>
      <w:rPr>
        <w:color w:val="3370ff"/>
      </w:rPr>
    </w:lvl>
  </w:abstractNum>
  <w:abstractNum w:abstractNumId="300929">
    <w:lvl>
      <w:start w:val="4"/>
      <w:numFmt w:val="lowerLetter"/>
      <w:suff w:val="tab"/>
      <w:lvlText w:val="%1."/>
      <w:rPr>
        <w:color w:val="3370ff"/>
      </w:rPr>
    </w:lvl>
  </w:abstractNum>
  <w:abstractNum w:abstractNumId="300930">
    <w:lvl>
      <w:start w:val="5"/>
      <w:numFmt w:val="lowerLetter"/>
      <w:suff w:val="tab"/>
      <w:lvlText w:val="%1."/>
      <w:rPr>
        <w:color w:val="3370ff"/>
      </w:rPr>
    </w:lvl>
  </w:abstractNum>
  <w:abstractNum w:abstractNumId="300931">
    <w:lvl>
      <w:start w:val="1"/>
      <w:numFmt w:val="lowerLetter"/>
      <w:suff w:val="tab"/>
      <w:lvlText w:val="%1."/>
      <w:rPr>
        <w:color w:val="3370ff"/>
      </w:rPr>
    </w:lvl>
  </w:abstractNum>
  <w:abstractNum w:abstractNumId="300932">
    <w:lvl>
      <w:start w:val="1"/>
      <w:numFmt w:val="lowerLetter"/>
      <w:suff w:val="tab"/>
      <w:lvlText w:val="%1."/>
      <w:rPr>
        <w:color w:val="3370ff"/>
      </w:rPr>
    </w:lvl>
  </w:abstractNum>
  <w:abstractNum w:abstractNumId="300933">
    <w:lvl>
      <w:start w:val="2"/>
      <w:numFmt w:val="lowerLetter"/>
      <w:suff w:val="tab"/>
      <w:lvlText w:val="%1."/>
      <w:rPr>
        <w:color w:val="3370ff"/>
      </w:rPr>
    </w:lvl>
  </w:abstractNum>
  <w:abstractNum w:abstractNumId="300934">
    <w:lvl>
      <w:start w:val="1"/>
      <w:numFmt w:val="lowerLetter"/>
      <w:suff w:val="tab"/>
      <w:lvlText w:val="%1."/>
      <w:rPr>
        <w:color w:val="3370ff"/>
      </w:rPr>
    </w:lvl>
  </w:abstractNum>
  <w:num w:numId="1">
    <w:abstractNumId w:val="300907"/>
  </w:num>
  <w:num w:numId="2">
    <w:abstractNumId w:val="300908"/>
  </w:num>
  <w:num w:numId="3">
    <w:abstractNumId w:val="300909"/>
  </w:num>
  <w:num w:numId="4">
    <w:abstractNumId w:val="300910"/>
  </w:num>
  <w:num w:numId="5">
    <w:abstractNumId w:val="300911"/>
  </w:num>
  <w:num w:numId="6">
    <w:abstractNumId w:val="300912"/>
  </w:num>
  <w:num w:numId="7">
    <w:abstractNumId w:val="300913"/>
  </w:num>
  <w:num w:numId="8">
    <w:abstractNumId w:val="300914"/>
  </w:num>
  <w:num w:numId="9">
    <w:abstractNumId w:val="300915"/>
  </w:num>
  <w:num w:numId="10">
    <w:abstractNumId w:val="300916"/>
  </w:num>
  <w:num w:numId="11">
    <w:abstractNumId w:val="300917"/>
  </w:num>
  <w:num w:numId="12">
    <w:abstractNumId w:val="300918"/>
  </w:num>
  <w:num w:numId="13">
    <w:abstractNumId w:val="300919"/>
  </w:num>
  <w:num w:numId="14">
    <w:abstractNumId w:val="300920"/>
  </w:num>
  <w:num w:numId="15">
    <w:abstractNumId w:val="300921"/>
  </w:num>
  <w:num w:numId="16">
    <w:abstractNumId w:val="300922"/>
  </w:num>
  <w:num w:numId="17">
    <w:abstractNumId w:val="300923"/>
  </w:num>
  <w:num w:numId="18">
    <w:abstractNumId w:val="300924"/>
  </w:num>
  <w:num w:numId="19">
    <w:abstractNumId w:val="300925"/>
  </w:num>
  <w:num w:numId="20">
    <w:abstractNumId w:val="300926"/>
  </w:num>
  <w:num w:numId="21">
    <w:abstractNumId w:val="300927"/>
  </w:num>
  <w:num w:numId="22">
    <w:abstractNumId w:val="300928"/>
  </w:num>
  <w:num w:numId="23">
    <w:abstractNumId w:val="300929"/>
  </w:num>
  <w:num w:numId="24">
    <w:abstractNumId w:val="300930"/>
  </w:num>
  <w:num w:numId="25">
    <w:abstractNumId w:val="300931"/>
  </w:num>
  <w:num w:numId="26">
    <w:abstractNumId w:val="300932"/>
  </w:num>
  <w:num w:numId="27">
    <w:abstractNumId w:val="300933"/>
  </w:num>
  <w:num w:numId="28">
    <w:abstractNumId w:val="3009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ttps://vrfi1sk8a0.feishu.cn/wiki/FIWjwgL33ipnkekzk30crmKUnIh" TargetMode="External" Type="http://schemas.openxmlformats.org/officeDocument/2006/relationships/hyperlink"/><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2026-08-25T04:07:11Z</dcterms:created>
  <dc:creator>Apache POI</dc:creator>
</cp:coreProperties>
</file>