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1da418695174da392178d5d14f0cc45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本次探讨围绕“猪只呼吸道疾病智能诊疗决策模块”的构建展开，从宏观架构到微观技术落地进行了深度推演。以下是本次探讨的核心重点总结：</w:t>
      </w:r>
      <w:bookmarkEnd w:id="100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977639abf00f482ab0223fec30be3d10" w:id="1002"/>
      <w:r>
        <w:rPr>
          <w:rFonts w:ascii="黑体" w:hAnsi="黑体" w:cs="黑体" w:eastAsia="黑体"/>
          <w:sz w:val="34"/>
          <w:spacing w:val="0"/>
          <w:b w:val="on"/>
          <w:i w:val="off"/>
        </w:rPr>
        <w:t>1. 系统整体架构与三大模型分工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5b55de41d8d46c7a69d9543c5d8d24e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诊疗决策模块并非单一模型，而是由三个模型串联构成的完整智能决策闭环：</w:t>
      </w:r>
      <w:bookmarkEnd w:id="100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0b5ecac-a037-4bd7-9db1-07482d2db48c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监测模型（感知层）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：负责从嘈杂环境中识别“咳嗽声”。这是一个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数据密集型任务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，需要大量标注数据进行训练。</w:t>
      </w:r>
      <w:bookmarkEnd w:id="100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33141ac-2156-4048-85eb-c6e99e713861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疾病诊断模型（认知层-辨病）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：接收监测模块的特征，进行多分类推理，判断具体疾病（如猪支原体肺炎）。推荐采用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集成学习模型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（如SVM+LR），对数据量要求相对较低。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fba0e85-742c-4da5-b165-68e06840f26b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辨证组方模型（认知层-论治）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：基于大语言模型（LLM），结合外部数据库进行中医辨证与个性化组方。这是一个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知识密集型任务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，核心依赖RAG架构，无需大量数据从头训练。</w:t>
      </w:r>
      <w:bookmarkEnd w:id="100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173da25dafd4029aa1fba126a8a9cd5" w:id="1007"/>
      <w:r>
        <w:rPr>
          <w:rFonts w:ascii="黑体" w:hAnsi="黑体" w:cs="黑体" w:eastAsia="黑体"/>
          <w:sz w:val="36"/>
          <w:spacing w:val="0"/>
          <w:b w:val="on"/>
          <w:i w:val="off"/>
        </w:rPr>
        <w:t>2. 诊疗决策的完整工作流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b63a696ab584da3a49b37718eff2ba4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系统遵循“辨病 → 辨证 → 组方 → 校验”的严密逻辑链条：</w:t>
      </w:r>
      <w:bookmarkEnd w:id="1008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adb9cb0-095f-4407-b393-4a68f4e3bbbb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数据接入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：融合声学特征与多模态体征数据。</w:t>
      </w:r>
      <w:bookmarkEnd w:id="100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f5b1e94-b728-4e45-ae51-214921b714fc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疾病诊断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：输出疾病类型及置信度。</w:t>
      </w:r>
      <w:bookmarkEnd w:id="101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d897700-c32a-4dcd-bb9c-b692cb542a16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意图解析与路由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：LLM判断需求，决定检索哪个数据库。</w:t>
      </w:r>
      <w:bookmarkEnd w:id="101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9e772c2-ecaf-427f-87f1-a28a4a7b71bd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智能检索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：RAG引擎从外部知识库提取信息。</w:t>
      </w:r>
      <w:bookmarkEnd w:id="1012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4b1c465-72dd-4e15-b017-fdc1f52b719d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辨证与组方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：辨证Agent判定证型，组方Agent进行加减化裁并计算剂量。</w:t>
      </w:r>
      <w:bookmarkEnd w:id="1013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38aedcd-951a-4b24-be75-74e0ef968164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安全校验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：校验Agent拦截配伍禁忌与剂量超标。</w:t>
      </w:r>
      <w:bookmarkEnd w:id="101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f9223ec-0ff6-425a-bc4f-ac4601eb7e5e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闭环反馈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：追踪疗效，反哺系统持续进化。</w:t>
      </w:r>
      <w:bookmarkEnd w:id="101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f6b4e2dbc06d4ccfbd4b81731a985cd7" w:id="1016"/>
      <w:r>
        <w:rPr>
          <w:rFonts w:ascii="黑体" w:hAnsi="黑体" w:cs="黑体" w:eastAsia="黑体"/>
          <w:sz w:val="36"/>
          <w:spacing w:val="0"/>
          <w:b w:val="on"/>
          <w:i w:val="off"/>
        </w:rPr>
        <w:t>3. RAG（检索增强生成）的核心机制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bf831ec41914257be3a30f9ab50b6af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RAG是解决医疗AI“幻觉”和“知识过时”的最优解，其本质是一个“两步走”的架构：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25cb433-e1c6-4406-bb24-7bdbfaa16293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第一步（检索）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：大模型根据输入特征，生成查询指令（如向量检索或Text-to-SQL），从外部数据库中精准提取参考资料。</w:t>
      </w:r>
      <w:bookmarkEnd w:id="1018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09264af-4352-4f7a-b112-10dcf5d185cc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第二步（生成）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：将参考资料与原始需求打包，强制大模型“仅依据资料”生成最终的诊疗结果。</w:t>
      </w:r>
      <w:bookmarkEnd w:id="1019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4cd8132-e120-4f86-91a7-a7fadcb45e92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核心优势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：实现“开卷考试”，确保答案可追溯、知识可热更新、彻底规避幻觉。</w:t>
      </w:r>
      <w:bookmarkEnd w:id="102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97e88889e67456e9fb94d4dcb5fdba1" w:id="1021"/>
      <w:r>
        <w:rPr>
          <w:rFonts w:ascii="黑体" w:hAnsi="黑体" w:cs="黑体" w:eastAsia="黑体"/>
          <w:sz w:val="36"/>
          <w:spacing w:val="0"/>
          <w:b w:val="on"/>
          <w:i w:val="off"/>
        </w:rPr>
        <w:t>4. 为什么必须建立中药数据库？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7e3ed7d06cd46158d9011a9395da64b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直接训练大模型在医疗领域行不通，必须建立专业的数据库（结合知识图谱）作为“外接大脑”：</w:t>
      </w:r>
      <w:bookmarkEnd w:id="1022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dfdba69-0d19-413c-961e-47380644725d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安全护栏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：提供毒性、配伍禁忌等硬性规则，确保用药绝对安全。</w:t>
      </w:r>
      <w:bookmarkEnd w:id="102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622516a-80ca-47d1-a89d-26c36d58f1df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高维逻辑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：将中医“君臣佐使、辨证论治”的隐性经验转化为显性的、可计算的规则。</w:t>
      </w:r>
      <w:bookmarkEnd w:id="1024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b27620a-92f3-4efc-8341-4423f79a346c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跨越鸿沟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：将古籍文言与现代药理数据进行结构化、标准化处理，提供高质量“黄金燃料”。</w:t>
      </w:r>
      <w:bookmarkEnd w:id="102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8650386b99c1461092f62c3a5f8a9e74" w:id="1026"/>
      <w:r>
        <w:rPr>
          <w:rFonts w:ascii="黑体" w:hAnsi="黑体" w:cs="黑体" w:eastAsia="黑体"/>
          <w:sz w:val="36"/>
          <w:spacing w:val="0"/>
          <w:b w:val="on"/>
          <w:i w:val="off"/>
        </w:rPr>
        <w:t>5. 两大核心数据库的构建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6fdc6c15f1843b6bb97d787c1b71087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诊疗模块的“弹药库”由两个核心数据库构成，并需构建完整的逻辑链：</w:t>
      </w:r>
      <w:bookmarkEnd w:id="1027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5d48ae5-ce10-43f2-8f50-a5785251d3d3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多维指标对应病症的数据库（辨证库）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：将多维体征（体温、咳喘、排泄物等）映射到标准化的“证候”（如疫热壅肺）。</w:t>
      </w:r>
      <w:bookmarkEnd w:id="1028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f0f61a3-d04d-403d-aaca-fd28e4045081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病症对应药方的数据库（论治库）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：包含经典基础方、随症加减化裁规则，以及药物属性与禁忌。</w:t>
      </w:r>
      <w:bookmarkEnd w:id="1029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37de272-a17d-4a0f-9be2-efb8fa50c92b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理-法-方-药逻辑链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：将上述两个库打通，形成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`[多维症状] ➔ [证候] ➔ [治则] ➔ [基础方] ➔ [加减规则] ➔ [具体药物及剂量]`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的完整推理路径。</w:t>
      </w:r>
      <w:bookmarkEnd w:id="10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cd426aa0e624cbf98e9bc9389c01a89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总结论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：整个项目的工程重心在于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攻克监测模型的声学数据难题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，而诊疗模块的重心则在于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构建高质量的中药知识图谱和RAG检索链路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。大模型负责逻辑推理，数据库负责提供权威事实，两者强强联合，才是医疗AI落地的正确范式。</w:t>
      </w:r>
      <w:bookmarkEnd w:id="1031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2026-08-06T23:11:37Z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+rh2yVBwpBfApZdLTVjFV0f6PQ+y0v6SuhOW0tB1KQ=","ProduceID":"doc_sgs:c71f102d-a861-4e3b-b381-e76b575e0b2f","ReservedCode2":"k+rh2yVBwpBfApZdLTVjFV0f6PQ+y0v6SuhOW0tB1KQ=","PropagateID":"doc_sgs:c71f102d-a861-4e3b-b381-e76b575e0b2f","ContentProducer":"001191440101MA9Y9T4H7A00000"}</vt:lpwstr>
  </property>
</Properties>
</file>