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Maven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已经是</w:t>
      </w:r>
      <w:hyperlink r:id="rId6" w:tgtFrame="_blank" w:tooltip="Java EE知识库" w:history="1">
        <w:r w:rsidRPr="00781575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t>Java</w:t>
        </w:r>
      </w:hyperlink>
      <w:r w:rsidRPr="00781575">
        <w:rPr>
          <w:rFonts w:ascii="Arial" w:eastAsia="宋体" w:hAnsi="Arial" w:cs="Arial"/>
          <w:color w:val="362E2B"/>
          <w:sz w:val="21"/>
          <w:szCs w:val="21"/>
        </w:rPr>
        <w:t>的项目管理标配，如何在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JavaEE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开发使用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Maven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调用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Web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应用，是很多同学关心的问题。本文将介绍，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Maven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如何介绍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Tomcat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插件。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Maven Tomcat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插件现在主要有两个版本，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tomcat-maven-plugin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和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tomcat7-maven-plugin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，使用方式基本相同。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tomcat-maven-plugin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插件官网：</w:t>
      </w:r>
      <w:hyperlink r:id="rId7" w:tgtFrame="_blank" w:tooltip="http://mojo.codehaus.org/tomcat-maven-plugin/plugin-info.html" w:history="1">
        <w:r w:rsidRPr="00781575">
          <w:rPr>
            <w:rFonts w:ascii="Arial" w:eastAsia="宋体" w:hAnsi="Arial" w:cs="Arial"/>
            <w:color w:val="6A3906"/>
            <w:sz w:val="21"/>
            <w:u w:val="single"/>
          </w:rPr>
          <w:t>http://mojo.codehaus.org/tomcat-maven-plugin/plugin-info.html</w:t>
        </w:r>
      </w:hyperlink>
      <w:r w:rsidRPr="00781575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tomcat7-maven-plugin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插件官网：</w:t>
      </w:r>
      <w:hyperlink r:id="rId8" w:tgtFrame="_blank" w:tooltip="http://tomcat.apache.org/maven-plugin.html" w:history="1">
        <w:r w:rsidRPr="00781575">
          <w:rPr>
            <w:rFonts w:ascii="Arial" w:eastAsia="宋体" w:hAnsi="Arial" w:cs="Arial"/>
            <w:color w:val="6A3906"/>
            <w:sz w:val="21"/>
            <w:u w:val="single"/>
          </w:rPr>
          <w:t>http://tomcat.apache.org/maven-plugin.html</w:t>
        </w:r>
      </w:hyperlink>
      <w:r w:rsidRPr="00781575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78157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tomcat-maven-plugin  </w:t>
      </w:r>
      <w:r w:rsidRPr="0078157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插件使用</w:t>
      </w:r>
    </w:p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" w:name="t1"/>
      <w:bookmarkEnd w:id="1"/>
      <w:r w:rsidRPr="00781575">
        <w:rPr>
          <w:rFonts w:ascii="Arial" w:eastAsia="宋体" w:hAnsi="Arial" w:cs="Arial"/>
          <w:b/>
          <w:bCs/>
          <w:color w:val="362E2B"/>
          <w:sz w:val="36"/>
          <w:szCs w:val="36"/>
        </w:rPr>
        <w:t>配置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pom.xm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加入以下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xml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</w:t>
      </w:r>
      <w:r w:rsidRPr="00781575">
        <w:rPr>
          <w:rFonts w:ascii="宋体" w:eastAsia="宋体" w:hAnsi="宋体" w:cs="宋体"/>
          <w:color w:val="362E2B"/>
          <w:sz w:val="21"/>
        </w:rPr>
        <w:t>&lt;plugin&gt;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&lt;groupId&gt;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org.codehaus.mojo</w:t>
      </w:r>
      <w:r w:rsidRPr="00781575">
        <w:rPr>
          <w:rFonts w:ascii="宋体" w:eastAsia="宋体" w:hAnsi="宋体" w:cs="宋体"/>
          <w:color w:val="362E2B"/>
          <w:sz w:val="21"/>
        </w:rPr>
        <w:t>&lt;/groupId&gt;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&lt;artifactId&gt;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tomcat-maven-plugin</w:t>
      </w:r>
      <w:r w:rsidRPr="00781575">
        <w:rPr>
          <w:rFonts w:ascii="宋体" w:eastAsia="宋体" w:hAnsi="宋体" w:cs="宋体"/>
          <w:color w:val="362E2B"/>
          <w:sz w:val="21"/>
        </w:rPr>
        <w:t>&lt;/artifactId&gt;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&lt;version&gt;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1.1</w:t>
      </w:r>
      <w:r w:rsidRPr="00781575">
        <w:rPr>
          <w:rFonts w:ascii="宋体" w:eastAsia="宋体" w:hAnsi="宋体" w:cs="宋体"/>
          <w:color w:val="362E2B"/>
          <w:sz w:val="21"/>
        </w:rPr>
        <w:t>&lt;/version&gt;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&lt;configuration&gt;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&lt;path&gt;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/wp</w:t>
      </w:r>
      <w:r w:rsidRPr="00781575">
        <w:rPr>
          <w:rFonts w:ascii="宋体" w:eastAsia="宋体" w:hAnsi="宋体" w:cs="宋体"/>
          <w:color w:val="362E2B"/>
          <w:sz w:val="21"/>
        </w:rPr>
        <w:t>&lt;/path&gt;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&lt;port&gt;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8080</w:t>
      </w:r>
      <w:r w:rsidRPr="00781575">
        <w:rPr>
          <w:rFonts w:ascii="宋体" w:eastAsia="宋体" w:hAnsi="宋体" w:cs="宋体"/>
          <w:color w:val="362E2B"/>
          <w:sz w:val="21"/>
        </w:rPr>
        <w:t>&lt;/port&gt;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&lt;uriEncoding&gt;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UTF-8</w:t>
      </w:r>
      <w:r w:rsidRPr="00781575">
        <w:rPr>
          <w:rFonts w:ascii="宋体" w:eastAsia="宋体" w:hAnsi="宋体" w:cs="宋体"/>
          <w:color w:val="362E2B"/>
          <w:sz w:val="21"/>
        </w:rPr>
        <w:t>&lt;/uriEncoding&gt;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&lt;url&gt;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http://localhost:8080/manager/html</w:t>
      </w:r>
      <w:r w:rsidRPr="00781575">
        <w:rPr>
          <w:rFonts w:ascii="宋体" w:eastAsia="宋体" w:hAnsi="宋体" w:cs="宋体"/>
          <w:color w:val="362E2B"/>
          <w:sz w:val="21"/>
        </w:rPr>
        <w:t>&lt;/url&gt;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&lt;server&gt;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tomcat6</w:t>
      </w:r>
      <w:r w:rsidRPr="00781575">
        <w:rPr>
          <w:rFonts w:ascii="宋体" w:eastAsia="宋体" w:hAnsi="宋体" w:cs="宋体"/>
          <w:color w:val="362E2B"/>
          <w:sz w:val="21"/>
        </w:rPr>
        <w:t>&lt;/server&gt;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&lt;/configuration&gt;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</w:t>
      </w:r>
      <w:r w:rsidRPr="00781575">
        <w:rPr>
          <w:rFonts w:ascii="宋体" w:eastAsia="宋体" w:hAnsi="宋体" w:cs="宋体"/>
          <w:color w:val="362E2B"/>
          <w:sz w:val="21"/>
        </w:rPr>
        <w:t>&lt;/plugin&gt;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简要说明一下：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path 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是访问应用的路径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port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是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tomcat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的端口号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</w:rPr>
        <w:t>uriEncoding  URL</w:t>
      </w:r>
      <w:r w:rsidRPr="00781575">
        <w:rPr>
          <w:rFonts w:ascii="Arial" w:eastAsia="宋体" w:hAnsi="Arial" w:cs="Arial"/>
          <w:color w:val="362E2B"/>
          <w:sz w:val="21"/>
        </w:rPr>
        <w:t>按</w:t>
      </w:r>
      <w:r w:rsidRPr="00781575">
        <w:rPr>
          <w:rFonts w:ascii="Arial" w:eastAsia="宋体" w:hAnsi="Arial" w:cs="Arial"/>
          <w:color w:val="362E2B"/>
          <w:sz w:val="21"/>
        </w:rPr>
        <w:t>UTF-8</w:t>
      </w:r>
      <w:r w:rsidRPr="00781575">
        <w:rPr>
          <w:rFonts w:ascii="Arial" w:eastAsia="宋体" w:hAnsi="Arial" w:cs="Arial"/>
          <w:color w:val="362E2B"/>
          <w:sz w:val="21"/>
        </w:rPr>
        <w:t>进行编码，这样就解决了中文参数乱码。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</w:rPr>
        <w:lastRenderedPageBreak/>
        <w:t xml:space="preserve">Server </w:t>
      </w:r>
      <w:r w:rsidRPr="00781575">
        <w:rPr>
          <w:rFonts w:ascii="Arial" w:eastAsia="宋体" w:hAnsi="Arial" w:cs="Arial"/>
          <w:color w:val="362E2B"/>
          <w:sz w:val="21"/>
        </w:rPr>
        <w:t>指定</w:t>
      </w:r>
      <w:r w:rsidRPr="00781575">
        <w:rPr>
          <w:rFonts w:ascii="Arial" w:eastAsia="宋体" w:hAnsi="Arial" w:cs="Arial"/>
          <w:color w:val="362E2B"/>
          <w:sz w:val="21"/>
        </w:rPr>
        <w:t>tomcat</w:t>
      </w:r>
      <w:r w:rsidRPr="00781575">
        <w:rPr>
          <w:rFonts w:ascii="Arial" w:eastAsia="宋体" w:hAnsi="Arial" w:cs="Arial"/>
          <w:color w:val="362E2B"/>
          <w:sz w:val="21"/>
        </w:rPr>
        <w:t>名称。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</w:rPr>
        <w:t>配置就这么简单，基本搞掂，下面看看如何使用。</w:t>
      </w:r>
    </w:p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2" w:name="t2"/>
      <w:bookmarkEnd w:id="2"/>
      <w:r w:rsidRPr="00781575">
        <w:rPr>
          <w:rFonts w:ascii="Arial" w:eastAsia="宋体" w:hAnsi="Arial" w:cs="Arial"/>
          <w:b/>
          <w:bCs/>
          <w:color w:val="362E2B"/>
          <w:sz w:val="36"/>
          <w:szCs w:val="36"/>
        </w:rPr>
        <w:t>插件运行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bookmarkStart w:id="3" w:name="t3"/>
      <w:bookmarkEnd w:id="3"/>
      <w:r w:rsidRPr="00781575">
        <w:rPr>
          <w:rFonts w:ascii="Arial" w:eastAsia="宋体" w:hAnsi="Arial" w:cs="Arial"/>
          <w:color w:val="362E2B"/>
          <w:sz w:val="21"/>
        </w:rPr>
        <w:t>如果</w:t>
      </w:r>
      <w:r w:rsidRPr="00781575">
        <w:rPr>
          <w:rFonts w:ascii="Arial" w:eastAsia="宋体" w:hAnsi="Arial" w:cs="Arial"/>
          <w:color w:val="362E2B"/>
          <w:sz w:val="21"/>
        </w:rPr>
        <w:t xml:space="preserve">Eclipse </w:t>
      </w:r>
      <w:r w:rsidRPr="00781575">
        <w:rPr>
          <w:rFonts w:ascii="Arial" w:eastAsia="宋体" w:hAnsi="Arial" w:cs="Arial"/>
          <w:color w:val="362E2B"/>
          <w:sz w:val="21"/>
        </w:rPr>
        <w:t>安装了</w:t>
      </w:r>
      <w:r w:rsidRPr="00781575">
        <w:rPr>
          <w:rFonts w:ascii="Arial" w:eastAsia="宋体" w:hAnsi="Arial" w:cs="Arial"/>
          <w:color w:val="362E2B"/>
          <w:sz w:val="21"/>
        </w:rPr>
        <w:t>Maven</w:t>
      </w:r>
      <w:r w:rsidRPr="00781575">
        <w:rPr>
          <w:rFonts w:ascii="Arial" w:eastAsia="宋体" w:hAnsi="Arial" w:cs="Arial"/>
          <w:color w:val="362E2B"/>
          <w:sz w:val="21"/>
        </w:rPr>
        <w:t>插件，选</w:t>
      </w:r>
      <w:r w:rsidRPr="00781575">
        <w:rPr>
          <w:rFonts w:ascii="Arial" w:eastAsia="宋体" w:hAnsi="Arial" w:cs="Arial"/>
          <w:color w:val="362E2B"/>
          <w:sz w:val="21"/>
        </w:rPr>
        <w:t xml:space="preserve"> </w:t>
      </w:r>
      <w:r w:rsidRPr="00781575">
        <w:rPr>
          <w:rFonts w:ascii="Arial" w:eastAsia="宋体" w:hAnsi="Arial" w:cs="Arial"/>
          <w:color w:val="362E2B"/>
          <w:sz w:val="21"/>
        </w:rPr>
        <w:t>择</w:t>
      </w:r>
      <w:r w:rsidRPr="00781575">
        <w:rPr>
          <w:rFonts w:ascii="Arial" w:eastAsia="宋体" w:hAnsi="Arial" w:cs="Arial"/>
          <w:color w:val="362E2B"/>
          <w:sz w:val="21"/>
        </w:rPr>
        <w:t>pom.xml</w:t>
      </w:r>
      <w:r w:rsidRPr="00781575">
        <w:rPr>
          <w:rFonts w:ascii="Arial" w:eastAsia="宋体" w:hAnsi="Arial" w:cs="Arial"/>
          <w:color w:val="362E2B"/>
          <w:sz w:val="21"/>
        </w:rPr>
        <w:t>文件，击右键</w:t>
      </w:r>
      <w:r w:rsidRPr="00781575">
        <w:rPr>
          <w:rFonts w:ascii="Arial" w:eastAsia="宋体" w:hAnsi="Arial" w:cs="Arial"/>
          <w:color w:val="362E2B"/>
          <w:sz w:val="21"/>
        </w:rPr>
        <w:t>——&gt;</w:t>
      </w:r>
      <w:r w:rsidRPr="00781575">
        <w:rPr>
          <w:rFonts w:ascii="Arial" w:eastAsia="宋体" w:hAnsi="Arial" w:cs="Arial"/>
          <w:color w:val="362E2B"/>
          <w:sz w:val="21"/>
        </w:rPr>
        <w:t>选择</w:t>
      </w:r>
      <w:r w:rsidRPr="00781575">
        <w:rPr>
          <w:rFonts w:ascii="Arial" w:eastAsia="宋体" w:hAnsi="Arial" w:cs="Arial"/>
          <w:color w:val="362E2B"/>
          <w:sz w:val="21"/>
        </w:rPr>
        <w:t xml:space="preserve"> Run As——&gt; Maven build </w:t>
      </w:r>
      <w:r w:rsidRPr="00781575">
        <w:rPr>
          <w:rFonts w:ascii="Arial" w:eastAsia="宋体" w:hAnsi="Arial" w:cs="Arial"/>
          <w:color w:val="362E2B"/>
          <w:sz w:val="21"/>
        </w:rPr>
        <w:t>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6A3906"/>
          <w:sz w:val="21"/>
          <w:szCs w:val="21"/>
        </w:rPr>
        <w:drawing>
          <wp:inline distT="0" distB="0" distL="0" distR="0">
            <wp:extent cx="5467350" cy="3476625"/>
            <wp:effectExtent l="19050" t="0" r="0" b="0"/>
            <wp:docPr id="1" name="图片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如果是第一次运行，会弹出下面对话框。在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Goals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框加加入以下命令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: tomcat:run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" w:name="t4"/>
      <w:bookmarkEnd w:id="4"/>
      <w:r>
        <w:rPr>
          <w:rFonts w:ascii="Arial" w:eastAsia="宋体" w:hAnsi="Arial" w:cs="Arial"/>
          <w:b/>
          <w:bCs/>
          <w:noProof/>
          <w:color w:val="6A3906"/>
          <w:sz w:val="36"/>
          <w:szCs w:val="36"/>
        </w:rPr>
        <w:lastRenderedPageBreak/>
        <w:drawing>
          <wp:inline distT="0" distB="0" distL="0" distR="0">
            <wp:extent cx="5476875" cy="3571875"/>
            <wp:effectExtent l="19050" t="0" r="9525" b="0"/>
            <wp:docPr id="2" name="图片 2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这样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Tomcat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插件就可以运行。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下面介绍几个常用的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Goal</w:t>
      </w:r>
    </w:p>
    <w:tbl>
      <w:tblPr>
        <w:tblW w:w="909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10"/>
        <w:gridCol w:w="6080"/>
      </w:tblGrid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命令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描述</w:t>
            </w:r>
          </w:p>
        </w:tc>
      </w:tr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tomcat:deploy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部署一个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web war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包</w:t>
            </w:r>
          </w:p>
        </w:tc>
      </w:tr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tomcat:reload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重新加载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web war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包</w:t>
            </w:r>
          </w:p>
        </w:tc>
      </w:tr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tomcat:start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启动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</w:t>
            </w:r>
          </w:p>
        </w:tc>
      </w:tr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tomcat:stop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停止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</w:t>
            </w:r>
          </w:p>
        </w:tc>
      </w:tr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tomcat:undeploy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停止一个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war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包</w:t>
            </w:r>
          </w:p>
        </w:tc>
      </w:tr>
      <w:tr w:rsidR="00781575" w:rsidRPr="00781575" w:rsidTr="00781575">
        <w:trPr>
          <w:tblCellSpacing w:w="0" w:type="dxa"/>
        </w:trPr>
        <w:tc>
          <w:tcPr>
            <w:tcW w:w="300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tomcat:run</w:t>
            </w:r>
          </w:p>
        </w:tc>
        <w:tc>
          <w:tcPr>
            <w:tcW w:w="6060" w:type="dxa"/>
            <w:shd w:val="clear" w:color="auto" w:fill="FFFFFF"/>
            <w:hideMark/>
          </w:tcPr>
          <w:p w:rsidR="00781575" w:rsidRPr="00781575" w:rsidRDefault="00781575" w:rsidP="00781575">
            <w:pPr>
              <w:adjustRightInd/>
              <w:snapToGrid/>
              <w:spacing w:after="0" w:line="390" w:lineRule="atLeast"/>
              <w:rPr>
                <w:rFonts w:ascii="Arial" w:eastAsia="宋体" w:hAnsi="Arial" w:cs="Arial"/>
                <w:color w:val="362E2B"/>
                <w:sz w:val="21"/>
                <w:szCs w:val="21"/>
              </w:rPr>
            </w:pP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启动嵌入式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 xml:space="preserve">tomcat </w:t>
            </w:r>
            <w:r w:rsidRPr="00781575">
              <w:rPr>
                <w:rFonts w:ascii="Arial" w:eastAsia="宋体" w:hAnsi="Arial" w:cs="Arial"/>
                <w:color w:val="362E2B"/>
                <w:sz w:val="21"/>
                <w:szCs w:val="21"/>
              </w:rPr>
              <w:t>，并运行当前项目</w:t>
            </w:r>
          </w:p>
        </w:tc>
      </w:tr>
    </w:tbl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5" w:name="t5"/>
      <w:bookmarkEnd w:id="5"/>
      <w:r w:rsidRPr="0078157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tomcat7-maven-plugin </w:t>
      </w:r>
      <w:r w:rsidRPr="0078157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使用</w:t>
      </w:r>
    </w:p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6" w:name="t6"/>
      <w:bookmarkEnd w:id="6"/>
      <w:r w:rsidRPr="00781575">
        <w:rPr>
          <w:rFonts w:ascii="Arial" w:eastAsia="宋体" w:hAnsi="Arial" w:cs="Arial"/>
          <w:b/>
          <w:bCs/>
          <w:color w:val="362E2B"/>
          <w:sz w:val="36"/>
          <w:szCs w:val="36"/>
        </w:rPr>
        <w:t>配置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两个插件使用方法基本一样，同样需要在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pom.xml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引用该插件，需要增加以下配置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</w:t>
      </w:r>
      <w:r w:rsidRPr="00781575">
        <w:rPr>
          <w:rFonts w:ascii="宋体" w:eastAsia="宋体" w:hAnsi="宋体" w:cs="宋体"/>
          <w:color w:val="362E2B"/>
          <w:sz w:val="21"/>
        </w:rPr>
        <w:t>&lt;plugin&gt;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&lt;groupId&gt;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org.apache.tomcat.maven</w:t>
      </w:r>
      <w:r w:rsidRPr="00781575">
        <w:rPr>
          <w:rFonts w:ascii="宋体" w:eastAsia="宋体" w:hAnsi="宋体" w:cs="宋体"/>
          <w:color w:val="362E2B"/>
          <w:sz w:val="21"/>
        </w:rPr>
        <w:t>&lt;/groupId&gt;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lastRenderedPageBreak/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&lt;artifactId&gt;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tomcat7-maven-plugin</w:t>
      </w:r>
      <w:r w:rsidRPr="00781575">
        <w:rPr>
          <w:rFonts w:ascii="宋体" w:eastAsia="宋体" w:hAnsi="宋体" w:cs="宋体"/>
          <w:color w:val="362E2B"/>
          <w:sz w:val="21"/>
        </w:rPr>
        <w:t>&lt;/artifactId&gt;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&lt;version&gt;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2.1</w:t>
      </w:r>
      <w:r w:rsidRPr="00781575">
        <w:rPr>
          <w:rFonts w:ascii="宋体" w:eastAsia="宋体" w:hAnsi="宋体" w:cs="宋体"/>
          <w:color w:val="362E2B"/>
          <w:sz w:val="21"/>
        </w:rPr>
        <w:t>&lt;/version&gt;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&lt;configuration&gt;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&lt;port&gt;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9090</w:t>
      </w:r>
      <w:r w:rsidRPr="00781575">
        <w:rPr>
          <w:rFonts w:ascii="宋体" w:eastAsia="宋体" w:hAnsi="宋体" w:cs="宋体"/>
          <w:color w:val="362E2B"/>
          <w:sz w:val="21"/>
        </w:rPr>
        <w:t>&lt;/port&gt;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&lt;path&gt;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/mgr</w:t>
      </w:r>
      <w:r w:rsidRPr="00781575">
        <w:rPr>
          <w:rFonts w:ascii="宋体" w:eastAsia="宋体" w:hAnsi="宋体" w:cs="宋体"/>
          <w:color w:val="362E2B"/>
          <w:sz w:val="21"/>
        </w:rPr>
        <w:t>&lt;/path&gt;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&lt;uriEncoding&gt;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UTF-8</w:t>
      </w:r>
      <w:r w:rsidRPr="00781575">
        <w:rPr>
          <w:rFonts w:ascii="宋体" w:eastAsia="宋体" w:hAnsi="宋体" w:cs="宋体"/>
          <w:color w:val="362E2B"/>
          <w:sz w:val="21"/>
        </w:rPr>
        <w:t>&lt;/uriEncoding&gt;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    </w:t>
      </w:r>
      <w:r w:rsidRPr="00781575">
        <w:rPr>
          <w:rFonts w:ascii="宋体" w:eastAsia="宋体" w:hAnsi="宋体" w:cs="宋体"/>
          <w:color w:val="362E2B"/>
          <w:sz w:val="21"/>
        </w:rPr>
        <w:t>&lt;server&gt;</w:t>
      </w:r>
      <w:r w:rsidRPr="00781575">
        <w:rPr>
          <w:rFonts w:ascii="宋体" w:eastAsia="宋体" w:hAnsi="宋体" w:cs="宋体"/>
          <w:color w:val="362E2B"/>
          <w:sz w:val="21"/>
          <w:szCs w:val="21"/>
        </w:rPr>
        <w:t>tomcat7</w:t>
      </w:r>
      <w:r w:rsidRPr="00781575">
        <w:rPr>
          <w:rFonts w:ascii="宋体" w:eastAsia="宋体" w:hAnsi="宋体" w:cs="宋体"/>
          <w:color w:val="362E2B"/>
          <w:sz w:val="21"/>
        </w:rPr>
        <w:t>&lt;/server&gt;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    </w:t>
      </w:r>
      <w:r w:rsidRPr="00781575">
        <w:rPr>
          <w:rFonts w:ascii="宋体" w:eastAsia="宋体" w:hAnsi="宋体" w:cs="宋体"/>
          <w:color w:val="362E2B"/>
          <w:sz w:val="21"/>
        </w:rPr>
        <w:t>&lt;/configuration&gt;</w:t>
      </w:r>
    </w:p>
    <w:p w:rsidR="00781575" w:rsidRPr="00781575" w:rsidRDefault="00781575" w:rsidP="00781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62E2B"/>
          <w:sz w:val="21"/>
          <w:szCs w:val="21"/>
        </w:rPr>
      </w:pPr>
      <w:r w:rsidRPr="00781575">
        <w:rPr>
          <w:rFonts w:ascii="宋体" w:eastAsia="宋体" w:hAnsi="宋体" w:cs="宋体"/>
          <w:color w:val="362E2B"/>
          <w:sz w:val="21"/>
          <w:szCs w:val="21"/>
        </w:rPr>
        <w:t xml:space="preserve">            </w:t>
      </w:r>
      <w:r w:rsidRPr="00781575">
        <w:rPr>
          <w:rFonts w:ascii="宋体" w:eastAsia="宋体" w:hAnsi="宋体" w:cs="宋体"/>
          <w:color w:val="362E2B"/>
          <w:sz w:val="21"/>
        </w:rPr>
        <w:t>&lt;/plugin&gt;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具体配置一样。</w:t>
      </w:r>
    </w:p>
    <w:p w:rsidR="00781575" w:rsidRPr="00781575" w:rsidRDefault="00781575" w:rsidP="00781575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7" w:name="t7"/>
      <w:bookmarkEnd w:id="7"/>
      <w:r w:rsidRPr="00781575">
        <w:rPr>
          <w:rFonts w:ascii="Arial" w:eastAsia="宋体" w:hAnsi="Arial" w:cs="Arial"/>
          <w:b/>
          <w:bCs/>
          <w:color w:val="362E2B"/>
          <w:sz w:val="36"/>
          <w:szCs w:val="36"/>
        </w:rPr>
        <w:t>插件使用</w:t>
      </w:r>
      <w:r w:rsidRPr="00781575">
        <w:rPr>
          <w:rFonts w:ascii="Arial" w:eastAsia="宋体" w:hAnsi="Arial" w:cs="Arial"/>
          <w:b/>
          <w:bCs/>
          <w:color w:val="362E2B"/>
          <w:sz w:val="36"/>
          <w:szCs w:val="36"/>
        </w:rPr>
        <w:t> 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在这里要注意一下，该插件命名方式有些不同，比如启动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tomcat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，对应的目标命令是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: tomcat7:run ,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同样，其它命令也是这样，需要更改为：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tomcat7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：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&lt;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插件执行点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&gt;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81575" w:rsidRPr="00781575" w:rsidRDefault="00781575" w:rsidP="0078157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81575">
        <w:rPr>
          <w:rFonts w:ascii="Arial" w:eastAsia="宋体" w:hAnsi="Arial" w:cs="Arial"/>
          <w:color w:val="362E2B"/>
          <w:sz w:val="21"/>
          <w:szCs w:val="21"/>
        </w:rPr>
        <w:t>OK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，配置就这么简单，如果需要在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 tomcat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跟踪联调，可以用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 xml:space="preserve">Dubug 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方式启动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maven</w:t>
      </w:r>
      <w:r w:rsidRPr="00781575">
        <w:rPr>
          <w:rFonts w:ascii="Arial" w:eastAsia="宋体" w:hAnsi="Arial" w:cs="Arial"/>
          <w:color w:val="362E2B"/>
          <w:sz w:val="21"/>
          <w:szCs w:val="21"/>
        </w:rPr>
        <w:t>命令。如下图</w:t>
      </w:r>
    </w:p>
    <w:p w:rsidR="004358AB" w:rsidRPr="00273F7D" w:rsidRDefault="00781575" w:rsidP="00273F7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6A3906"/>
          <w:sz w:val="21"/>
          <w:szCs w:val="21"/>
        </w:rPr>
        <w:drawing>
          <wp:inline distT="0" distB="0" distL="0" distR="0">
            <wp:extent cx="4581525" cy="3200400"/>
            <wp:effectExtent l="19050" t="0" r="9525" b="0"/>
            <wp:docPr id="3" name="图片 3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RPr="00273F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BD2" w:rsidRDefault="009E1BD2" w:rsidP="00781575">
      <w:pPr>
        <w:spacing w:after="0"/>
      </w:pPr>
      <w:r>
        <w:separator/>
      </w:r>
    </w:p>
  </w:endnote>
  <w:endnote w:type="continuationSeparator" w:id="0">
    <w:p w:rsidR="009E1BD2" w:rsidRDefault="009E1BD2" w:rsidP="007815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BD2" w:rsidRDefault="009E1BD2" w:rsidP="00781575">
      <w:pPr>
        <w:spacing w:after="0"/>
      </w:pPr>
      <w:r>
        <w:separator/>
      </w:r>
    </w:p>
  </w:footnote>
  <w:footnote w:type="continuationSeparator" w:id="0">
    <w:p w:rsidR="009E1BD2" w:rsidRDefault="009E1BD2" w:rsidP="007815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3F7D"/>
    <w:rsid w:val="00323B43"/>
    <w:rsid w:val="003D37D8"/>
    <w:rsid w:val="00426133"/>
    <w:rsid w:val="004358AB"/>
    <w:rsid w:val="005D5DCC"/>
    <w:rsid w:val="00781575"/>
    <w:rsid w:val="008B7726"/>
    <w:rsid w:val="009E1BD2"/>
    <w:rsid w:val="00D31D50"/>
    <w:rsid w:val="00D7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8157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157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5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5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5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57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5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1575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7815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8157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8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575"/>
    <w:rPr>
      <w:rFonts w:ascii="宋体" w:eastAsia="宋体" w:hAnsi="宋体" w:cs="宋体"/>
      <w:sz w:val="24"/>
      <w:szCs w:val="24"/>
    </w:rPr>
  </w:style>
  <w:style w:type="character" w:customStyle="1" w:styleId="kwrd">
    <w:name w:val="kwrd"/>
    <w:basedOn w:val="a0"/>
    <w:rsid w:val="00781575"/>
  </w:style>
  <w:style w:type="character" w:customStyle="1" w:styleId="html0">
    <w:name w:val="html"/>
    <w:basedOn w:val="a0"/>
    <w:rsid w:val="00781575"/>
  </w:style>
  <w:style w:type="character" w:customStyle="1" w:styleId="apple-converted-space">
    <w:name w:val="apple-converted-space"/>
    <w:basedOn w:val="a0"/>
    <w:rsid w:val="00781575"/>
  </w:style>
  <w:style w:type="paragraph" w:styleId="a7">
    <w:name w:val="Document Map"/>
    <w:basedOn w:val="a"/>
    <w:link w:val="Char1"/>
    <w:uiPriority w:val="99"/>
    <w:semiHidden/>
    <w:unhideWhenUsed/>
    <w:rsid w:val="007815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81575"/>
    <w:rPr>
      <w:rFonts w:ascii="宋体" w:eastAsia="宋体" w:hAnsi="Tahoma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8157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815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maven-plugin.html" TargetMode="External"/><Relationship Id="rId13" Type="http://schemas.openxmlformats.org/officeDocument/2006/relationships/hyperlink" Target="http://static.oschina.net/uploads/img/201310/14145821_qS8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jo.codehaus.org/tomcat-maven-plugin/plugin-info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b.csdn.net/base/17" TargetMode="External"/><Relationship Id="rId11" Type="http://schemas.openxmlformats.org/officeDocument/2006/relationships/hyperlink" Target="http://static.oschina.net/uploads/img/201310/14145821_iGvW.pn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img/201310/14145820_ONP7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2016-07-26T01:58:00Z</dcterms:modified>
</cp:coreProperties>
</file>