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A26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2403D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对于MIB 模块，我们直接固定其模块为正方形,并将其视为形状不可变的模块。即可解决MIB约束。</w:t>
      </w:r>
    </w:p>
    <w:p w14:paraId="001A23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63E0D2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对于boundary模块，我们先处理其他模块，之后在其他模块的包围盒外面围一圈。</w:t>
      </w:r>
    </w:p>
    <w:p w14:paraId="1FDCBC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</w:p>
    <w:p w14:paraId="0D036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对于grouping 模块，我们将其打包成一个模块。</w:t>
      </w:r>
    </w:p>
    <w:p w14:paraId="16CE1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具体做法和alphatest相同：</w:t>
      </w:r>
    </w:p>
    <w:p w14:paraId="1AEB2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这版不做复杂图搜索，而是直接构造“连通链”：</w:t>
      </w:r>
    </w:p>
    <w:p w14:paraId="170019FB">
      <w:pPr>
        <w:rPr>
          <w:rFonts w:hint="default"/>
          <w:lang w:val="en-US" w:eastAsia="zh-CN"/>
        </w:rPr>
      </w:pPr>
    </w:p>
    <w:p w14:paraId="34C65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如果全是普通软块：</w:t>
      </w:r>
    </w:p>
    <w:p w14:paraId="11F0A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所有块按同高横向排开</w:t>
      </w:r>
    </w:p>
    <w:p w14:paraId="1888F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每对相邻块共享一段边，因此整个组连通</w:t>
      </w:r>
    </w:p>
    <w:p w14:paraId="09AF9E2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整体依旧可以视为软模块。</w:t>
      </w:r>
    </w:p>
    <w:p w14:paraId="0BF3A051">
      <w:pPr>
        <w:rPr>
          <w:rFonts w:hint="default"/>
          <w:lang w:val="en-US" w:eastAsia="zh-CN"/>
        </w:rPr>
      </w:pPr>
    </w:p>
    <w:p w14:paraId="4B1539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如果组内含 fixed-shape：</w:t>
      </w:r>
    </w:p>
    <w:p w14:paraId="22AEF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枚举两种链式布局</w:t>
      </w:r>
    </w:p>
    <w:p w14:paraId="673FF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横向链：所有块底对齐，依次相接</w:t>
      </w:r>
    </w:p>
    <w:p w14:paraId="0E22D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 纵向链：所有块左对齐，依次相接</w:t>
      </w:r>
    </w:p>
    <w:p w14:paraId="7F7C9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普通软块的长宽按当前链高/链宽反推</w:t>
      </w:r>
    </w:p>
    <w:p w14:paraId="4A175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选择组包围盒面积更小、且更接近方形的版本</w:t>
      </w:r>
    </w:p>
    <w:p w14:paraId="317668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整体视为固定形状模块</w:t>
      </w:r>
    </w:p>
    <w:p w14:paraId="3D287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同时具有boundary和grouping约束的，我们忽略其boundary约束。</w:t>
      </w:r>
    </w:p>
    <w:p w14:paraId="0E2BC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同时有固定位置和grouping约束的，我们忽略其grouping约束。</w:t>
      </w:r>
    </w:p>
    <w:p w14:paraId="3377C9DA">
      <w:pPr>
        <w:rPr>
          <w:rFonts w:hint="eastAsia"/>
          <w:lang w:val="en-US" w:eastAsia="zh-CN"/>
        </w:rPr>
      </w:pPr>
    </w:p>
    <w:p w14:paraId="535EE672">
      <w:pPr>
        <w:rPr>
          <w:rFonts w:hint="eastAsia"/>
          <w:lang w:val="en-US" w:eastAsia="zh-CN"/>
        </w:rPr>
      </w:pPr>
    </w:p>
    <w:p w14:paraId="757F819F">
      <w:pPr>
        <w:rPr>
          <w:rFonts w:hint="default"/>
          <w:lang w:val="en-US" w:eastAsia="zh-CN"/>
        </w:rPr>
      </w:pPr>
    </w:p>
    <w:p w14:paraId="1F221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</w:t>
      </w:r>
    </w:p>
    <w:p w14:paraId="0F795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首先放置固定形状模块（这个暂时和alphatest采取相同的做法）。</w:t>
      </w:r>
    </w:p>
    <w:p w14:paraId="5BFBD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之后对于当前包围盒的空白区域，我们将其划分为多个矩形区域。</w:t>
      </w:r>
    </w:p>
    <w:p w14:paraId="62E38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之后将软模块填充进矩形区域（只要填进去的软模块面积 &lt;= 矩形区域面积就可以保证能放的下），这里我们逐个贪心的放置软模块（即在有足够面积 能容纳的下的矩形区域中，找到一个 假如放在矩形区域中心，HPWL线长增量最小的区域）。</w:t>
      </w:r>
    </w:p>
    <w:p w14:paraId="6F9D3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对于已分配好区域的软模块，我们将其按底对其链式排列处理 如图</w:t>
      </w:r>
    </w:p>
    <w:p w14:paraId="3D5738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67330" cy="1673860"/>
            <wp:effectExtent l="0" t="0" r="4445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D4B3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这样就可以转化成一维问题</w:t>
      </w:r>
    </w:p>
    <w:p w14:paraId="679D22C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n条线段，每条范围 $x_i-w_i/2,x_i+w_i/2$。其中x不固定，w固定。 现在你需要确定每条线段的 $x_i$ 使得： 线段在范围 $L,R$ 内 任意两条线段不相交（可以有端点重合） 使得 $\sum_{i=1}^n \sum_{j=1}^{p_i}|x_i-t_{i,j}| + \sum_{k=1}^m |x_{u_k}-x_{v_k}|$ 尽可能小。 其中 $p_i,t_{i,j},u,v$ 事先已给出。</w:t>
      </w:r>
    </w:p>
    <w:p w14:paraId="7C14F2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这里采用一个简单做法，对于所有t_{i,j}，如果t_{i,j} &lt; L就置成L ，&gt;R就设置成R（因为不管怎么排列都不影响这一部分代价）</w:t>
      </w:r>
    </w:p>
    <w:p w14:paraId="71D94E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事先求出在</w:t>
      </w:r>
      <w:r>
        <w:rPr>
          <w:rFonts w:ascii="宋体" w:hAnsi="宋体" w:eastAsia="宋体" w:cs="宋体"/>
          <w:sz w:val="24"/>
          <w:szCs w:val="24"/>
        </w:rPr>
        <w:t>t_{i,j}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在所有t中的排名（相同数值采用相同排名），然后计算对于每个i，t_{i,j}的排名均值，并依据此确定x的顺序。</w:t>
      </w:r>
    </w:p>
    <w:p w14:paraId="69ECE5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我们忽略</w:t>
      </w:r>
      <w:r>
        <w:rPr>
          <w:rFonts w:ascii="宋体" w:hAnsi="宋体" w:eastAsia="宋体" w:cs="宋体"/>
          <w:sz w:val="24"/>
          <w:szCs w:val="24"/>
        </w:rPr>
        <w:t>\sum_{k=1}^m |x_{u_k}-x_{v_k}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| 这一项，参考文件夹下的PAVA.md 的方法解决。</w:t>
      </w:r>
    </w:p>
    <w:p w14:paraId="4F90A7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4907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AB4ED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BD50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C2C7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C5AA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A5AF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</w:t>
      </w:r>
    </w:p>
    <w:p w14:paraId="32C4C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内部模块处理完成后，处理外围boundary模块。</w:t>
      </w:r>
    </w:p>
    <w:p w14:paraId="35427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对于固定在角落的模块，有两种可能延伸的方法，如下图红/蓝矩形所示。</w:t>
      </w:r>
    </w:p>
    <w:p w14:paraId="4898D2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我们枚举每个角落的模块延伸方向的所有可能，并计算出整体相比内部区域每个方向延展的最小长度（注意要考虑固定形状模块），采用面积最小的方案并填充boundary模块。</w:t>
      </w:r>
      <w:bookmarkStart w:id="0" w:name="_GoBack"/>
      <w:bookmarkEnd w:id="0"/>
    </w:p>
    <w:p w14:paraId="76B8598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38830" cy="2537460"/>
            <wp:effectExtent l="0" t="0" r="444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53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44AFA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67370"/>
    <w:rsid w:val="367B70C2"/>
    <w:rsid w:val="4D2A5AFC"/>
    <w:rsid w:val="53D7068A"/>
    <w:rsid w:val="676A4C42"/>
    <w:rsid w:val="6C9D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Theme="minorEastAsia" w:cstheme="minorBidi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公式"/>
    <w:basedOn w:val="1"/>
    <w:uiPriority w:val="0"/>
    <w:pPr>
      <w:tabs>
        <w:tab w:val="center" w:pos="4200"/>
        <w:tab w:val="right" w:pos="8295"/>
      </w:tabs>
      <w:adjustRightInd w:val="0"/>
      <w:spacing w:line="400" w:lineRule="exact"/>
      <w:ind w:firstLine="480" w:firstLineChars="200"/>
      <w:jc w:val="both"/>
    </w:pPr>
    <w:rPr>
      <w:rFonts w:hint="eastAsia" w:ascii="Times New Roman" w:hAnsi="Times New Roman" w:eastAsia="宋体" w:cs="Times New Roman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2026-04-28T13:03:00Z</dcterms:created>
  <dc:creator>张亲翰</dc:creator>
  <cp:lastModifiedBy>Ynoi</cp:lastModifiedBy>
  <dcterms:modified xsi:type="dcterms:W3CDTF">2026-07-09T08:45:23Z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5505080DAF0A4482B33F43F25C2C0057_12</vt:lpwstr>
  </property>
  <property fmtid="{D5CDD505-2E9C-101B-9397-08002B2CF9AE}" pid="4" name="KSOTemplateDocerSaveRecord">
    <vt:lpwstr>eyJoZGlkIjoiNWVkNGJhMmFlN2RkODE1NTRjYTliOGQ2ZjhkZmI0NWEiLCJ1c2VySWQiOiIxMTk3OTQwODMwIn0=</vt:lpwstr>
  </property>
</Properties>
</file>