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0D243" w14:textId="77777777" w:rsidR="000F3EF4" w:rsidRDefault="000F3EF4">
      <w:pPr>
        <w:spacing w:before="1200"/>
      </w:pPr>
    </w:p>
    <w:p w14:paraId="25FF0066" w14:textId="14732115" w:rsidR="000F3EF4" w:rsidRDefault="00C17FD1">
      <w:pPr>
        <w:spacing w:after="200"/>
        <w:jc w:val="center"/>
      </w:pPr>
      <w:r>
        <w:rPr>
          <w:b/>
          <w:bCs/>
          <w:color w:val="1F3864"/>
          <w:sz w:val="48"/>
          <w:szCs w:val="48"/>
        </w:rPr>
        <w:t>Chiranjeev Gurukul</w:t>
      </w:r>
      <w:r w:rsidR="00000000">
        <w:rPr>
          <w:b/>
          <w:bCs/>
          <w:color w:val="1F3864"/>
          <w:sz w:val="48"/>
          <w:szCs w:val="48"/>
        </w:rPr>
        <w:t xml:space="preserve"> CRM Enhancement</w:t>
      </w:r>
    </w:p>
    <w:p w14:paraId="42BF1B67" w14:textId="77777777" w:rsidR="000F3EF4" w:rsidRDefault="00000000">
      <w:pPr>
        <w:spacing w:after="400"/>
        <w:jc w:val="center"/>
      </w:pPr>
      <w:r>
        <w:rPr>
          <w:color w:val="444444"/>
          <w:sz w:val="32"/>
          <w:szCs w:val="32"/>
        </w:rPr>
        <w:t>Functional Requirements Specification (FRS)</w:t>
      </w:r>
    </w:p>
    <w:p w14:paraId="388B20CD" w14:textId="7577FE1A" w:rsidR="000F3EF4" w:rsidRDefault="00000000">
      <w:pPr>
        <w:jc w:val="center"/>
      </w:pPr>
      <w:r>
        <w:rPr>
          <w:i/>
          <w:iCs/>
          <w:color w:val="666666"/>
          <w:sz w:val="22"/>
          <w:szCs w:val="22"/>
        </w:rPr>
        <w:t xml:space="preserve">Version 1.0 | </w:t>
      </w:r>
      <w:r w:rsidR="000779EB">
        <w:rPr>
          <w:i/>
          <w:iCs/>
          <w:color w:val="666666"/>
          <w:sz w:val="22"/>
          <w:szCs w:val="22"/>
        </w:rPr>
        <w:t>Aug</w:t>
      </w:r>
      <w:r>
        <w:rPr>
          <w:i/>
          <w:iCs/>
          <w:color w:val="666666"/>
          <w:sz w:val="22"/>
          <w:szCs w:val="22"/>
        </w:rPr>
        <w:t xml:space="preserve"> 202</w:t>
      </w:r>
      <w:r w:rsidR="000779EB">
        <w:rPr>
          <w:i/>
          <w:iCs/>
          <w:color w:val="666666"/>
          <w:sz w:val="22"/>
          <w:szCs w:val="22"/>
        </w:rPr>
        <w:t>5</w:t>
      </w:r>
    </w:p>
    <w:p w14:paraId="4C761EE8" w14:textId="77777777" w:rsidR="000F3EF4" w:rsidRDefault="00000000">
      <w:r>
        <w:br w:type="page"/>
      </w:r>
    </w:p>
    <w:p w14:paraId="6A8C7A3A" w14:textId="77777777" w:rsidR="000F3EF4" w:rsidRDefault="00000000">
      <w:pPr>
        <w:pStyle w:val="Heading1"/>
        <w:spacing w:before="320" w:after="150"/>
      </w:pPr>
      <w:bookmarkStart w:id="0" w:name="_Toc234426629"/>
      <w:r>
        <w:lastRenderedPageBreak/>
        <w:t>Table of Contents</w:t>
      </w:r>
      <w:bookmarkEnd w:id="0"/>
    </w:p>
    <w:sdt>
      <w:sdtPr>
        <w:alias w:val="Table of Contents"/>
        <w:id w:val="441809071"/>
      </w:sdtPr>
      <w:sdtContent>
        <w:p w14:paraId="2894DB37" w14:textId="7954F4E4" w:rsidR="00B64820" w:rsidRDefault="00000000">
          <w:pPr>
            <w:pStyle w:val="TOC1"/>
            <w:tabs>
              <w:tab w:val="right" w:leader="dot" w:pos="1439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4426629" w:history="1">
            <w:r w:rsidR="00B64820" w:rsidRPr="009D0292">
              <w:rPr>
                <w:rStyle w:val="Hyperlink"/>
                <w:noProof/>
              </w:rPr>
              <w:t>Table of Contents</w:t>
            </w:r>
            <w:r w:rsidR="00B64820">
              <w:rPr>
                <w:noProof/>
              </w:rPr>
              <w:tab/>
            </w:r>
            <w:r w:rsidR="00B64820">
              <w:rPr>
                <w:noProof/>
              </w:rPr>
              <w:fldChar w:fldCharType="begin"/>
            </w:r>
            <w:r w:rsidR="00B64820">
              <w:rPr>
                <w:noProof/>
              </w:rPr>
              <w:instrText xml:space="preserve"> PAGEREF _Toc234426629 \h </w:instrText>
            </w:r>
            <w:r w:rsidR="00B64820">
              <w:rPr>
                <w:noProof/>
              </w:rPr>
            </w:r>
            <w:r w:rsidR="00B64820">
              <w:rPr>
                <w:noProof/>
              </w:rPr>
              <w:fldChar w:fldCharType="separate"/>
            </w:r>
            <w:r w:rsidR="00B64820">
              <w:rPr>
                <w:noProof/>
              </w:rPr>
              <w:t>2</w:t>
            </w:r>
            <w:r w:rsidR="00B64820">
              <w:rPr>
                <w:noProof/>
              </w:rPr>
              <w:fldChar w:fldCharType="end"/>
            </w:r>
          </w:hyperlink>
        </w:p>
        <w:p w14:paraId="71AA86E6" w14:textId="7F7AB504" w:rsidR="00B64820" w:rsidRDefault="00B64820">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630" w:history="1">
            <w:r w:rsidRPr="009D0292">
              <w:rPr>
                <w:rStyle w:val="Hyperlink"/>
                <w:noProof/>
              </w:rPr>
              <w:t>1. Purpose &amp; Relationship to Other Documents</w:t>
            </w:r>
            <w:r>
              <w:rPr>
                <w:noProof/>
              </w:rPr>
              <w:tab/>
            </w:r>
            <w:r>
              <w:rPr>
                <w:noProof/>
              </w:rPr>
              <w:fldChar w:fldCharType="begin"/>
            </w:r>
            <w:r>
              <w:rPr>
                <w:noProof/>
              </w:rPr>
              <w:instrText xml:space="preserve"> PAGEREF _Toc234426630 \h </w:instrText>
            </w:r>
            <w:r>
              <w:rPr>
                <w:noProof/>
              </w:rPr>
            </w:r>
            <w:r>
              <w:rPr>
                <w:noProof/>
              </w:rPr>
              <w:fldChar w:fldCharType="separate"/>
            </w:r>
            <w:r>
              <w:rPr>
                <w:noProof/>
              </w:rPr>
              <w:t>3</w:t>
            </w:r>
            <w:r>
              <w:rPr>
                <w:noProof/>
              </w:rPr>
              <w:fldChar w:fldCharType="end"/>
            </w:r>
          </w:hyperlink>
        </w:p>
        <w:p w14:paraId="36060F0E" w14:textId="2D4456AD" w:rsidR="00B64820" w:rsidRDefault="00B64820">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631" w:history="1">
            <w:r w:rsidRPr="009D0292">
              <w:rPr>
                <w:rStyle w:val="Hyperlink"/>
                <w:noProof/>
              </w:rPr>
              <w:t>2. Functional Requirements — Reference</w:t>
            </w:r>
            <w:r>
              <w:rPr>
                <w:noProof/>
              </w:rPr>
              <w:tab/>
            </w:r>
            <w:r>
              <w:rPr>
                <w:noProof/>
              </w:rPr>
              <w:fldChar w:fldCharType="begin"/>
            </w:r>
            <w:r>
              <w:rPr>
                <w:noProof/>
              </w:rPr>
              <w:instrText xml:space="preserve"> PAGEREF _Toc234426631 \h </w:instrText>
            </w:r>
            <w:r>
              <w:rPr>
                <w:noProof/>
              </w:rPr>
            </w:r>
            <w:r>
              <w:rPr>
                <w:noProof/>
              </w:rPr>
              <w:fldChar w:fldCharType="separate"/>
            </w:r>
            <w:r>
              <w:rPr>
                <w:noProof/>
              </w:rPr>
              <w:t>3</w:t>
            </w:r>
            <w:r>
              <w:rPr>
                <w:noProof/>
              </w:rPr>
              <w:fldChar w:fldCharType="end"/>
            </w:r>
          </w:hyperlink>
        </w:p>
        <w:p w14:paraId="217C5C56" w14:textId="5D17FB89" w:rsidR="00B64820" w:rsidRDefault="00B64820">
          <w:pPr>
            <w:pStyle w:val="TOC1"/>
            <w:tabs>
              <w:tab w:val="right" w:leader="dot" w:pos="14390"/>
            </w:tabs>
            <w:rPr>
              <w:rFonts w:asciiTheme="minorHAnsi" w:eastAsiaTheme="minorEastAsia" w:hAnsiTheme="minorHAnsi" w:cstheme="minorBidi"/>
              <w:noProof/>
              <w:kern w:val="2"/>
              <w:sz w:val="24"/>
              <w:szCs w:val="24"/>
              <w14:ligatures w14:val="standardContextual"/>
            </w:rPr>
          </w:pPr>
          <w:hyperlink w:anchor="_Toc234426632" w:history="1">
            <w:r w:rsidRPr="009D0292">
              <w:rPr>
                <w:rStyle w:val="Hyperlink"/>
                <w:noProof/>
              </w:rPr>
              <w:t>3. Non-Functional Requirements — Detailed Specification</w:t>
            </w:r>
            <w:r>
              <w:rPr>
                <w:noProof/>
              </w:rPr>
              <w:tab/>
            </w:r>
            <w:r>
              <w:rPr>
                <w:noProof/>
              </w:rPr>
              <w:fldChar w:fldCharType="begin"/>
            </w:r>
            <w:r>
              <w:rPr>
                <w:noProof/>
              </w:rPr>
              <w:instrText xml:space="preserve"> PAGEREF _Toc234426632 \h </w:instrText>
            </w:r>
            <w:r>
              <w:rPr>
                <w:noProof/>
              </w:rPr>
            </w:r>
            <w:r>
              <w:rPr>
                <w:noProof/>
              </w:rPr>
              <w:fldChar w:fldCharType="separate"/>
            </w:r>
            <w:r>
              <w:rPr>
                <w:noProof/>
              </w:rPr>
              <w:t>4</w:t>
            </w:r>
            <w:r>
              <w:rPr>
                <w:noProof/>
              </w:rPr>
              <w:fldChar w:fldCharType="end"/>
            </w:r>
          </w:hyperlink>
        </w:p>
        <w:p w14:paraId="204D0AE3" w14:textId="3AEF1753" w:rsidR="000F3EF4" w:rsidRDefault="00000000">
          <w:r>
            <w:fldChar w:fldCharType="end"/>
          </w:r>
        </w:p>
      </w:sdtContent>
    </w:sdt>
    <w:p w14:paraId="46A76B19" w14:textId="77777777" w:rsidR="000F3EF4" w:rsidRDefault="00000000">
      <w:r>
        <w:br w:type="page"/>
      </w:r>
    </w:p>
    <w:p w14:paraId="1FC4869C" w14:textId="77777777" w:rsidR="000F3EF4" w:rsidRDefault="00000000">
      <w:pPr>
        <w:pStyle w:val="Heading1"/>
        <w:spacing w:before="320" w:after="150"/>
      </w:pPr>
      <w:bookmarkStart w:id="1" w:name="_Toc234426630"/>
      <w:r>
        <w:lastRenderedPageBreak/>
        <w:t>1. Purpose &amp; Relationship to Other Documents</w:t>
      </w:r>
      <w:bookmarkEnd w:id="1"/>
    </w:p>
    <w:p w14:paraId="516CD10F" w14:textId="77777777" w:rsidR="000F3EF4" w:rsidRDefault="00000000">
      <w:pPr>
        <w:spacing w:after="100"/>
      </w:pPr>
      <w:r>
        <w:t>An FRS is expected to fully specify both Functional Requirements (FR) and Non-Functional Requirements (NFR) at an implementable level of detail. Across the existing document set:</w:t>
      </w:r>
    </w:p>
    <w:p w14:paraId="569D03BD" w14:textId="77777777" w:rsidR="000F3EF4" w:rsidRDefault="00000000">
      <w:pPr>
        <w:pStyle w:val="ListParagraph"/>
        <w:numPr>
          <w:ilvl w:val="0"/>
          <w:numId w:val="1"/>
        </w:numPr>
        <w:spacing w:after="60"/>
      </w:pPr>
      <w:r>
        <w:t>FR detail already exists at FRS-depth in the Functional Requirements Document (FRD) v1.0, Section 5 — each of the 31 FRs is specified with Actor, Trigger, Pre-condition, Main Flow, Exception Flow, Business Rules Applied, and Output.</w:t>
      </w:r>
    </w:p>
    <w:p w14:paraId="60A55AF3" w14:textId="77777777" w:rsidR="000F3EF4" w:rsidRDefault="00000000">
      <w:pPr>
        <w:pStyle w:val="ListParagraph"/>
        <w:numPr>
          <w:ilvl w:val="0"/>
          <w:numId w:val="1"/>
        </w:numPr>
        <w:spacing w:after="60"/>
      </w:pPr>
      <w:r>
        <w:t>NFR detail did not previously exist beyond a one-line statement per NFR in the BRD. This document closes that gap.</w:t>
      </w:r>
    </w:p>
    <w:p w14:paraId="429F0EB1" w14:textId="77777777" w:rsidR="000F3EF4" w:rsidRDefault="00000000">
      <w:pPr>
        <w:spacing w:after="100"/>
      </w:pPr>
      <w:r>
        <w:t>This FRS therefore references the FRD for FR detail (Section 2 below) and provides the full specification for all 16 NFRs (Section 3), so the two documents together constitute a complete FRS without duplicating 25 pages of content.</w:t>
      </w:r>
    </w:p>
    <w:p w14:paraId="6B038426" w14:textId="77777777" w:rsidR="000F3EF4" w:rsidRDefault="00000000">
      <w:pPr>
        <w:pStyle w:val="Heading1"/>
        <w:spacing w:before="320" w:after="150"/>
      </w:pPr>
      <w:bookmarkStart w:id="2" w:name="_Toc234426631"/>
      <w:r>
        <w:t>2. Functional Requirements — Reference</w:t>
      </w:r>
      <w:bookmarkEnd w:id="2"/>
    </w:p>
    <w:p w14:paraId="00F19C92" w14:textId="77777777" w:rsidR="000F3EF4" w:rsidRDefault="00000000">
      <w:pPr>
        <w:spacing w:after="100"/>
      </w:pPr>
      <w:r>
        <w:t xml:space="preserve">Full detail (actor, trigger, flow, exceptions, rules, output) for FR-001 through FR-031 is maintained in </w:t>
      </w:r>
      <w:proofErr w:type="spellStart"/>
      <w:r>
        <w:t>Graphy</w:t>
      </w:r>
      <w:proofErr w:type="spellEnd"/>
      <w:r>
        <w:t xml:space="preserve"> CRM Enhancement — Functional Requirements Document (FRD) v1.0, Section 5. Module breakdown:</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7500"/>
      </w:tblGrid>
      <w:tr w:rsidR="000F3EF4" w14:paraId="5EF40572" w14:textId="77777777">
        <w:tblPrEx>
          <w:tblCellMar>
            <w:top w:w="0" w:type="dxa"/>
            <w:bottom w:w="0" w:type="dxa"/>
          </w:tblCellMar>
        </w:tblPrEx>
        <w:trPr>
          <w:tblHeader/>
        </w:trPr>
        <w:tc>
          <w:tcPr>
            <w:tcW w:w="6500" w:type="dxa"/>
            <w:shd w:val="clear" w:color="auto" w:fill="1F3864"/>
            <w:vAlign w:val="center"/>
          </w:tcPr>
          <w:p w14:paraId="50103CC5" w14:textId="77777777" w:rsidR="000F3EF4" w:rsidRDefault="00000000">
            <w:r>
              <w:rPr>
                <w:b/>
                <w:bCs/>
                <w:color w:val="FFFFFF"/>
                <w:sz w:val="18"/>
                <w:szCs w:val="18"/>
              </w:rPr>
              <w:t>Module</w:t>
            </w:r>
          </w:p>
        </w:tc>
        <w:tc>
          <w:tcPr>
            <w:tcW w:w="7500" w:type="dxa"/>
            <w:shd w:val="clear" w:color="auto" w:fill="1F3864"/>
            <w:vAlign w:val="center"/>
          </w:tcPr>
          <w:p w14:paraId="19F82018" w14:textId="77777777" w:rsidR="000F3EF4" w:rsidRDefault="00000000">
            <w:r>
              <w:rPr>
                <w:b/>
                <w:bCs/>
                <w:color w:val="FFFFFF"/>
                <w:sz w:val="18"/>
                <w:szCs w:val="18"/>
              </w:rPr>
              <w:t>FRs Covered</w:t>
            </w:r>
          </w:p>
        </w:tc>
      </w:tr>
      <w:tr w:rsidR="000F3EF4" w14:paraId="1E237CE9" w14:textId="77777777">
        <w:tblPrEx>
          <w:tblCellMar>
            <w:top w:w="0" w:type="dxa"/>
            <w:bottom w:w="0" w:type="dxa"/>
          </w:tblCellMar>
        </w:tblPrEx>
        <w:tc>
          <w:tcPr>
            <w:tcW w:w="6500" w:type="dxa"/>
            <w:vAlign w:val="center"/>
          </w:tcPr>
          <w:p w14:paraId="5281C041" w14:textId="77777777" w:rsidR="000F3EF4" w:rsidRDefault="00000000">
            <w:r>
              <w:rPr>
                <w:sz w:val="18"/>
                <w:szCs w:val="18"/>
              </w:rPr>
              <w:t>Core Platform</w:t>
            </w:r>
          </w:p>
        </w:tc>
        <w:tc>
          <w:tcPr>
            <w:tcW w:w="7500" w:type="dxa"/>
            <w:vAlign w:val="center"/>
          </w:tcPr>
          <w:p w14:paraId="56B94F49" w14:textId="77777777" w:rsidR="000F3EF4" w:rsidRDefault="00000000">
            <w:r>
              <w:rPr>
                <w:sz w:val="18"/>
                <w:szCs w:val="18"/>
              </w:rPr>
              <w:t>FR-001, FR-002</w:t>
            </w:r>
          </w:p>
        </w:tc>
      </w:tr>
      <w:tr w:rsidR="000F3EF4" w14:paraId="35D8AD2E" w14:textId="77777777">
        <w:tblPrEx>
          <w:tblCellMar>
            <w:top w:w="0" w:type="dxa"/>
            <w:bottom w:w="0" w:type="dxa"/>
          </w:tblCellMar>
        </w:tblPrEx>
        <w:tc>
          <w:tcPr>
            <w:tcW w:w="6500" w:type="dxa"/>
            <w:vAlign w:val="center"/>
          </w:tcPr>
          <w:p w14:paraId="527BC4DE" w14:textId="77777777" w:rsidR="000F3EF4" w:rsidRDefault="00000000">
            <w:r>
              <w:rPr>
                <w:sz w:val="18"/>
                <w:szCs w:val="18"/>
              </w:rPr>
              <w:t>Sales &amp; Opportunity Management</w:t>
            </w:r>
          </w:p>
        </w:tc>
        <w:tc>
          <w:tcPr>
            <w:tcW w:w="7500" w:type="dxa"/>
            <w:vAlign w:val="center"/>
          </w:tcPr>
          <w:p w14:paraId="713C6AC3" w14:textId="77777777" w:rsidR="000F3EF4" w:rsidRDefault="00000000">
            <w:r>
              <w:rPr>
                <w:sz w:val="18"/>
                <w:szCs w:val="18"/>
              </w:rPr>
              <w:t>FR-003 to FR-007, FR-010 to FR-015</w:t>
            </w:r>
          </w:p>
        </w:tc>
      </w:tr>
      <w:tr w:rsidR="000F3EF4" w14:paraId="5E015915" w14:textId="77777777">
        <w:tblPrEx>
          <w:tblCellMar>
            <w:top w:w="0" w:type="dxa"/>
            <w:bottom w:w="0" w:type="dxa"/>
          </w:tblCellMar>
        </w:tblPrEx>
        <w:tc>
          <w:tcPr>
            <w:tcW w:w="6500" w:type="dxa"/>
            <w:vAlign w:val="center"/>
          </w:tcPr>
          <w:p w14:paraId="54789EBE" w14:textId="77777777" w:rsidR="000F3EF4" w:rsidRDefault="00000000">
            <w:r>
              <w:rPr>
                <w:sz w:val="18"/>
                <w:szCs w:val="18"/>
              </w:rPr>
              <w:t>Marketing</w:t>
            </w:r>
          </w:p>
        </w:tc>
        <w:tc>
          <w:tcPr>
            <w:tcW w:w="7500" w:type="dxa"/>
            <w:vAlign w:val="center"/>
          </w:tcPr>
          <w:p w14:paraId="326EC17B" w14:textId="77777777" w:rsidR="000F3EF4" w:rsidRDefault="00000000">
            <w:r>
              <w:rPr>
                <w:sz w:val="18"/>
                <w:szCs w:val="18"/>
              </w:rPr>
              <w:t>FR-016 to FR-021</w:t>
            </w:r>
          </w:p>
        </w:tc>
      </w:tr>
      <w:tr w:rsidR="000F3EF4" w14:paraId="157AE5A3" w14:textId="77777777">
        <w:tblPrEx>
          <w:tblCellMar>
            <w:top w:w="0" w:type="dxa"/>
            <w:bottom w:w="0" w:type="dxa"/>
          </w:tblCellMar>
        </w:tblPrEx>
        <w:tc>
          <w:tcPr>
            <w:tcW w:w="6500" w:type="dxa"/>
            <w:vAlign w:val="center"/>
          </w:tcPr>
          <w:p w14:paraId="74C36CD1" w14:textId="77777777" w:rsidR="000F3EF4" w:rsidRDefault="00000000">
            <w:r>
              <w:rPr>
                <w:sz w:val="18"/>
                <w:szCs w:val="18"/>
              </w:rPr>
              <w:t>Customer Support</w:t>
            </w:r>
          </w:p>
        </w:tc>
        <w:tc>
          <w:tcPr>
            <w:tcW w:w="7500" w:type="dxa"/>
            <w:vAlign w:val="center"/>
          </w:tcPr>
          <w:p w14:paraId="0832873D" w14:textId="77777777" w:rsidR="000F3EF4" w:rsidRDefault="00000000">
            <w:r>
              <w:rPr>
                <w:sz w:val="18"/>
                <w:szCs w:val="18"/>
              </w:rPr>
              <w:t>FR-009, FR-022 to FR-025</w:t>
            </w:r>
          </w:p>
        </w:tc>
      </w:tr>
      <w:tr w:rsidR="000F3EF4" w14:paraId="36E888E5" w14:textId="77777777">
        <w:tblPrEx>
          <w:tblCellMar>
            <w:top w:w="0" w:type="dxa"/>
            <w:bottom w:w="0" w:type="dxa"/>
          </w:tblCellMar>
        </w:tblPrEx>
        <w:tc>
          <w:tcPr>
            <w:tcW w:w="6500" w:type="dxa"/>
            <w:vAlign w:val="center"/>
          </w:tcPr>
          <w:p w14:paraId="26C853B7" w14:textId="77777777" w:rsidR="000F3EF4" w:rsidRDefault="00000000">
            <w:r>
              <w:rPr>
                <w:sz w:val="18"/>
                <w:szCs w:val="18"/>
              </w:rPr>
              <w:t>Reporting &amp; Analytics</w:t>
            </w:r>
          </w:p>
        </w:tc>
        <w:tc>
          <w:tcPr>
            <w:tcW w:w="7500" w:type="dxa"/>
            <w:vAlign w:val="center"/>
          </w:tcPr>
          <w:p w14:paraId="6E40617A" w14:textId="77777777" w:rsidR="000F3EF4" w:rsidRDefault="00000000">
            <w:r>
              <w:rPr>
                <w:sz w:val="18"/>
                <w:szCs w:val="18"/>
              </w:rPr>
              <w:t>FR-008</w:t>
            </w:r>
          </w:p>
        </w:tc>
      </w:tr>
      <w:tr w:rsidR="000F3EF4" w14:paraId="7AE4A057" w14:textId="77777777">
        <w:tblPrEx>
          <w:tblCellMar>
            <w:top w:w="0" w:type="dxa"/>
            <w:bottom w:w="0" w:type="dxa"/>
          </w:tblCellMar>
        </w:tblPrEx>
        <w:tc>
          <w:tcPr>
            <w:tcW w:w="6500" w:type="dxa"/>
            <w:vAlign w:val="center"/>
          </w:tcPr>
          <w:p w14:paraId="11D89189" w14:textId="77777777" w:rsidR="000F3EF4" w:rsidRDefault="00000000">
            <w:r>
              <w:rPr>
                <w:sz w:val="18"/>
                <w:szCs w:val="18"/>
              </w:rPr>
              <w:t>Admin &amp; Platform Configuration</w:t>
            </w:r>
          </w:p>
        </w:tc>
        <w:tc>
          <w:tcPr>
            <w:tcW w:w="7500" w:type="dxa"/>
            <w:vAlign w:val="center"/>
          </w:tcPr>
          <w:p w14:paraId="3C53EE2A" w14:textId="77777777" w:rsidR="000F3EF4" w:rsidRDefault="00000000">
            <w:r>
              <w:rPr>
                <w:sz w:val="18"/>
                <w:szCs w:val="18"/>
              </w:rPr>
              <w:t>FR-026 to FR-031</w:t>
            </w:r>
          </w:p>
        </w:tc>
      </w:tr>
    </w:tbl>
    <w:p w14:paraId="2FE816B4" w14:textId="77777777" w:rsidR="000F3EF4" w:rsidRDefault="00000000">
      <w:r>
        <w:br w:type="page"/>
      </w:r>
    </w:p>
    <w:p w14:paraId="75BBBCD9" w14:textId="77777777" w:rsidR="000F3EF4" w:rsidRDefault="00000000">
      <w:pPr>
        <w:pStyle w:val="Heading1"/>
        <w:spacing w:before="320" w:after="150"/>
      </w:pPr>
      <w:bookmarkStart w:id="3" w:name="_Toc234426632"/>
      <w:r>
        <w:lastRenderedPageBreak/>
        <w:t>3. Non-Functional Requirements — Detailed Specification</w:t>
      </w:r>
      <w:bookmarkEnd w:id="3"/>
    </w:p>
    <w:p w14:paraId="3E48B948" w14:textId="77777777" w:rsidR="000F3EF4" w:rsidRDefault="00000000">
      <w:pPr>
        <w:spacing w:after="100"/>
      </w:pPr>
      <w:r>
        <w:t>Each NFR below is specified with: the full requirement statement, a measurable target (so it can actually be tested rather than just asserted), the rationale (why it matters to the business), the verification method (how it will be confirmed), priority, and any related FR/BR.</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2800"/>
        <w:gridCol w:w="2600"/>
        <w:gridCol w:w="2400"/>
        <w:gridCol w:w="2400"/>
        <w:gridCol w:w="700"/>
        <w:gridCol w:w="1000"/>
      </w:tblGrid>
      <w:tr w:rsidR="000F3EF4" w14:paraId="607A56F6" w14:textId="77777777">
        <w:tblPrEx>
          <w:tblCellMar>
            <w:top w:w="0" w:type="dxa"/>
            <w:bottom w:w="0" w:type="dxa"/>
          </w:tblCellMar>
        </w:tblPrEx>
        <w:trPr>
          <w:tblHeader/>
        </w:trPr>
        <w:tc>
          <w:tcPr>
            <w:tcW w:w="700" w:type="dxa"/>
            <w:shd w:val="clear" w:color="auto" w:fill="1F3864"/>
            <w:vAlign w:val="center"/>
          </w:tcPr>
          <w:p w14:paraId="06F8E117" w14:textId="77777777" w:rsidR="000F3EF4" w:rsidRDefault="00000000">
            <w:r>
              <w:rPr>
                <w:b/>
                <w:bCs/>
                <w:color w:val="FFFFFF"/>
                <w:sz w:val="18"/>
                <w:szCs w:val="18"/>
              </w:rPr>
              <w:t>ID</w:t>
            </w:r>
          </w:p>
        </w:tc>
        <w:tc>
          <w:tcPr>
            <w:tcW w:w="1400" w:type="dxa"/>
            <w:shd w:val="clear" w:color="auto" w:fill="1F3864"/>
            <w:vAlign w:val="center"/>
          </w:tcPr>
          <w:p w14:paraId="14DFF258" w14:textId="77777777" w:rsidR="000F3EF4" w:rsidRDefault="00000000">
            <w:r>
              <w:rPr>
                <w:b/>
                <w:bCs/>
                <w:color w:val="FFFFFF"/>
                <w:sz w:val="18"/>
                <w:szCs w:val="18"/>
              </w:rPr>
              <w:t>Category</w:t>
            </w:r>
          </w:p>
        </w:tc>
        <w:tc>
          <w:tcPr>
            <w:tcW w:w="2800" w:type="dxa"/>
            <w:shd w:val="clear" w:color="auto" w:fill="1F3864"/>
            <w:vAlign w:val="center"/>
          </w:tcPr>
          <w:p w14:paraId="6E60DC47" w14:textId="77777777" w:rsidR="000F3EF4" w:rsidRDefault="00000000">
            <w:r>
              <w:rPr>
                <w:b/>
                <w:bCs/>
                <w:color w:val="FFFFFF"/>
                <w:sz w:val="18"/>
                <w:szCs w:val="18"/>
              </w:rPr>
              <w:t>Requirement</w:t>
            </w:r>
          </w:p>
        </w:tc>
        <w:tc>
          <w:tcPr>
            <w:tcW w:w="2600" w:type="dxa"/>
            <w:shd w:val="clear" w:color="auto" w:fill="1F3864"/>
            <w:vAlign w:val="center"/>
          </w:tcPr>
          <w:p w14:paraId="14EF867B" w14:textId="77777777" w:rsidR="000F3EF4" w:rsidRDefault="00000000">
            <w:r>
              <w:rPr>
                <w:b/>
                <w:bCs/>
                <w:color w:val="FFFFFF"/>
                <w:sz w:val="18"/>
                <w:szCs w:val="18"/>
              </w:rPr>
              <w:t>Measurable Target</w:t>
            </w:r>
          </w:p>
        </w:tc>
        <w:tc>
          <w:tcPr>
            <w:tcW w:w="2400" w:type="dxa"/>
            <w:shd w:val="clear" w:color="auto" w:fill="1F3864"/>
            <w:vAlign w:val="center"/>
          </w:tcPr>
          <w:p w14:paraId="4406EBBC" w14:textId="77777777" w:rsidR="000F3EF4" w:rsidRDefault="00000000">
            <w:r>
              <w:rPr>
                <w:b/>
                <w:bCs/>
                <w:color w:val="FFFFFF"/>
                <w:sz w:val="18"/>
                <w:szCs w:val="18"/>
              </w:rPr>
              <w:t>Rationale</w:t>
            </w:r>
          </w:p>
        </w:tc>
        <w:tc>
          <w:tcPr>
            <w:tcW w:w="2400" w:type="dxa"/>
            <w:shd w:val="clear" w:color="auto" w:fill="1F3864"/>
            <w:vAlign w:val="center"/>
          </w:tcPr>
          <w:p w14:paraId="588E56F9" w14:textId="77777777" w:rsidR="000F3EF4" w:rsidRDefault="00000000">
            <w:r>
              <w:rPr>
                <w:b/>
                <w:bCs/>
                <w:color w:val="FFFFFF"/>
                <w:sz w:val="18"/>
                <w:szCs w:val="18"/>
              </w:rPr>
              <w:t>Verification Method</w:t>
            </w:r>
          </w:p>
        </w:tc>
        <w:tc>
          <w:tcPr>
            <w:tcW w:w="700" w:type="dxa"/>
            <w:shd w:val="clear" w:color="auto" w:fill="1F3864"/>
            <w:vAlign w:val="center"/>
          </w:tcPr>
          <w:p w14:paraId="67AB79D4" w14:textId="77777777" w:rsidR="000F3EF4" w:rsidRDefault="00000000">
            <w:r>
              <w:rPr>
                <w:b/>
                <w:bCs/>
                <w:color w:val="FFFFFF"/>
                <w:sz w:val="18"/>
                <w:szCs w:val="18"/>
              </w:rPr>
              <w:t>Priority</w:t>
            </w:r>
          </w:p>
        </w:tc>
        <w:tc>
          <w:tcPr>
            <w:tcW w:w="1000" w:type="dxa"/>
            <w:shd w:val="clear" w:color="auto" w:fill="1F3864"/>
            <w:vAlign w:val="center"/>
          </w:tcPr>
          <w:p w14:paraId="386D9F05" w14:textId="77777777" w:rsidR="000F3EF4" w:rsidRDefault="00000000">
            <w:r>
              <w:rPr>
                <w:b/>
                <w:bCs/>
                <w:color w:val="FFFFFF"/>
                <w:sz w:val="18"/>
                <w:szCs w:val="18"/>
              </w:rPr>
              <w:t>Related</w:t>
            </w:r>
          </w:p>
        </w:tc>
      </w:tr>
      <w:tr w:rsidR="000F3EF4" w14:paraId="2CD89EA7" w14:textId="77777777">
        <w:tblPrEx>
          <w:tblCellMar>
            <w:top w:w="0" w:type="dxa"/>
            <w:bottom w:w="0" w:type="dxa"/>
          </w:tblCellMar>
        </w:tblPrEx>
        <w:tc>
          <w:tcPr>
            <w:tcW w:w="700" w:type="dxa"/>
            <w:vAlign w:val="center"/>
          </w:tcPr>
          <w:p w14:paraId="5066F488" w14:textId="77777777" w:rsidR="000F3EF4" w:rsidRDefault="00000000">
            <w:r>
              <w:rPr>
                <w:sz w:val="18"/>
                <w:szCs w:val="18"/>
              </w:rPr>
              <w:t>NFR-001</w:t>
            </w:r>
          </w:p>
        </w:tc>
        <w:tc>
          <w:tcPr>
            <w:tcW w:w="1400" w:type="dxa"/>
            <w:vAlign w:val="center"/>
          </w:tcPr>
          <w:p w14:paraId="18BFE518" w14:textId="77777777" w:rsidR="000F3EF4" w:rsidRDefault="00000000">
            <w:r>
              <w:rPr>
                <w:sz w:val="18"/>
                <w:szCs w:val="18"/>
              </w:rPr>
              <w:t>Scalability</w:t>
            </w:r>
          </w:p>
        </w:tc>
        <w:tc>
          <w:tcPr>
            <w:tcW w:w="2800" w:type="dxa"/>
            <w:vAlign w:val="center"/>
          </w:tcPr>
          <w:p w14:paraId="14C47B79" w14:textId="77777777" w:rsidR="000F3EF4" w:rsidRDefault="00000000">
            <w:r>
              <w:rPr>
                <w:sz w:val="18"/>
                <w:szCs w:val="18"/>
              </w:rPr>
              <w:t>The system shall support concurrent multi-user access without functional degradation as adoption grows across Sales, Marketing, and Support.</w:t>
            </w:r>
          </w:p>
        </w:tc>
        <w:tc>
          <w:tcPr>
            <w:tcW w:w="2600" w:type="dxa"/>
            <w:vAlign w:val="center"/>
          </w:tcPr>
          <w:p w14:paraId="50C19BCF" w14:textId="77777777" w:rsidR="000F3EF4" w:rsidRDefault="00000000">
            <w:r>
              <w:rPr>
                <w:sz w:val="18"/>
                <w:szCs w:val="18"/>
              </w:rPr>
              <w:t>500 concurrent active users at peak load.</w:t>
            </w:r>
          </w:p>
        </w:tc>
        <w:tc>
          <w:tcPr>
            <w:tcW w:w="2400" w:type="dxa"/>
            <w:vAlign w:val="center"/>
          </w:tcPr>
          <w:p w14:paraId="2E833FA6" w14:textId="77777777" w:rsidR="000F3EF4" w:rsidRDefault="00000000">
            <w:r>
              <w:rPr>
                <w:sz w:val="18"/>
                <w:szCs w:val="18"/>
              </w:rPr>
              <w:t>Prevents performance collapse as the organization's user base grows beyond current levels.</w:t>
            </w:r>
          </w:p>
        </w:tc>
        <w:tc>
          <w:tcPr>
            <w:tcW w:w="2400" w:type="dxa"/>
            <w:vAlign w:val="center"/>
          </w:tcPr>
          <w:p w14:paraId="7C2D88E9" w14:textId="77777777" w:rsidR="000F3EF4" w:rsidRDefault="00000000">
            <w:r>
              <w:rPr>
                <w:sz w:val="18"/>
                <w:szCs w:val="18"/>
              </w:rPr>
              <w:t>Load testing with simulated concurrent sessions; monitored in staging before go-live.</w:t>
            </w:r>
          </w:p>
        </w:tc>
        <w:tc>
          <w:tcPr>
            <w:tcW w:w="700" w:type="dxa"/>
            <w:vAlign w:val="center"/>
          </w:tcPr>
          <w:p w14:paraId="79EA4907" w14:textId="77777777" w:rsidR="000F3EF4" w:rsidRDefault="00000000">
            <w:r>
              <w:rPr>
                <w:sz w:val="18"/>
                <w:szCs w:val="18"/>
              </w:rPr>
              <w:t>Critical</w:t>
            </w:r>
          </w:p>
        </w:tc>
        <w:tc>
          <w:tcPr>
            <w:tcW w:w="1000" w:type="dxa"/>
            <w:vAlign w:val="center"/>
          </w:tcPr>
          <w:p w14:paraId="2C009172" w14:textId="77777777" w:rsidR="000F3EF4" w:rsidRDefault="00000000">
            <w:r>
              <w:rPr>
                <w:sz w:val="18"/>
                <w:szCs w:val="18"/>
              </w:rPr>
              <w:t>-</w:t>
            </w:r>
          </w:p>
        </w:tc>
      </w:tr>
      <w:tr w:rsidR="000F3EF4" w14:paraId="13466809" w14:textId="77777777">
        <w:tblPrEx>
          <w:tblCellMar>
            <w:top w:w="0" w:type="dxa"/>
            <w:bottom w:w="0" w:type="dxa"/>
          </w:tblCellMar>
        </w:tblPrEx>
        <w:tc>
          <w:tcPr>
            <w:tcW w:w="700" w:type="dxa"/>
            <w:vAlign w:val="center"/>
          </w:tcPr>
          <w:p w14:paraId="0D4B3726" w14:textId="77777777" w:rsidR="000F3EF4" w:rsidRDefault="00000000">
            <w:r>
              <w:rPr>
                <w:sz w:val="18"/>
                <w:szCs w:val="18"/>
              </w:rPr>
              <w:t>NFR-002</w:t>
            </w:r>
          </w:p>
        </w:tc>
        <w:tc>
          <w:tcPr>
            <w:tcW w:w="1400" w:type="dxa"/>
            <w:vAlign w:val="center"/>
          </w:tcPr>
          <w:p w14:paraId="198F756A" w14:textId="77777777" w:rsidR="000F3EF4" w:rsidRDefault="00000000">
            <w:r>
              <w:rPr>
                <w:sz w:val="18"/>
                <w:szCs w:val="18"/>
              </w:rPr>
              <w:t>Performance / Speed</w:t>
            </w:r>
          </w:p>
        </w:tc>
        <w:tc>
          <w:tcPr>
            <w:tcW w:w="2800" w:type="dxa"/>
            <w:vAlign w:val="center"/>
          </w:tcPr>
          <w:p w14:paraId="2F98175C" w14:textId="77777777" w:rsidR="000F3EF4" w:rsidRDefault="00000000">
            <w:r>
              <w:rPr>
                <w:sz w:val="18"/>
                <w:szCs w:val="18"/>
              </w:rPr>
              <w:t>Dashboards and core screens shall render within an acceptable time to avoid disrupting user workflow.</w:t>
            </w:r>
          </w:p>
        </w:tc>
        <w:tc>
          <w:tcPr>
            <w:tcW w:w="2600" w:type="dxa"/>
            <w:vAlign w:val="center"/>
          </w:tcPr>
          <w:p w14:paraId="78C4F292" w14:textId="77777777" w:rsidR="000F3EF4" w:rsidRDefault="00000000">
            <w:r>
              <w:rPr>
                <w:sz w:val="18"/>
                <w:szCs w:val="18"/>
              </w:rPr>
              <w:t>Dashboard load time &lt; 3 seconds at 500 concurrent users.</w:t>
            </w:r>
          </w:p>
        </w:tc>
        <w:tc>
          <w:tcPr>
            <w:tcW w:w="2400" w:type="dxa"/>
            <w:vAlign w:val="center"/>
          </w:tcPr>
          <w:p w14:paraId="369AB630" w14:textId="77777777" w:rsidR="000F3EF4" w:rsidRDefault="00000000">
            <w:r>
              <w:rPr>
                <w:sz w:val="18"/>
                <w:szCs w:val="18"/>
              </w:rPr>
              <w:t>Slow dashboards directly undermine the adoption and productivity objectives in the BRD.</w:t>
            </w:r>
          </w:p>
        </w:tc>
        <w:tc>
          <w:tcPr>
            <w:tcW w:w="2400" w:type="dxa"/>
            <w:vAlign w:val="center"/>
          </w:tcPr>
          <w:p w14:paraId="684C1FAF" w14:textId="77777777" w:rsidR="000F3EF4" w:rsidRDefault="00000000">
            <w:r>
              <w:rPr>
                <w:sz w:val="18"/>
                <w:szCs w:val="18"/>
              </w:rPr>
              <w:t>Automated performance testing on each release; browser-side timing captured in QA.</w:t>
            </w:r>
          </w:p>
        </w:tc>
        <w:tc>
          <w:tcPr>
            <w:tcW w:w="700" w:type="dxa"/>
            <w:vAlign w:val="center"/>
          </w:tcPr>
          <w:p w14:paraId="4B686B05" w14:textId="77777777" w:rsidR="000F3EF4" w:rsidRDefault="00000000">
            <w:r>
              <w:rPr>
                <w:sz w:val="18"/>
                <w:szCs w:val="18"/>
              </w:rPr>
              <w:t>Critical</w:t>
            </w:r>
          </w:p>
        </w:tc>
        <w:tc>
          <w:tcPr>
            <w:tcW w:w="1000" w:type="dxa"/>
            <w:vAlign w:val="center"/>
          </w:tcPr>
          <w:p w14:paraId="7FDE6E9D" w14:textId="77777777" w:rsidR="000F3EF4" w:rsidRDefault="00000000">
            <w:r>
              <w:rPr>
                <w:sz w:val="18"/>
                <w:szCs w:val="18"/>
              </w:rPr>
              <w:t>FR-002, FR-008</w:t>
            </w:r>
          </w:p>
        </w:tc>
      </w:tr>
      <w:tr w:rsidR="000F3EF4" w14:paraId="324C88CB" w14:textId="77777777">
        <w:tblPrEx>
          <w:tblCellMar>
            <w:top w:w="0" w:type="dxa"/>
            <w:bottom w:w="0" w:type="dxa"/>
          </w:tblCellMar>
        </w:tblPrEx>
        <w:tc>
          <w:tcPr>
            <w:tcW w:w="700" w:type="dxa"/>
            <w:vAlign w:val="center"/>
          </w:tcPr>
          <w:p w14:paraId="0F11E36F" w14:textId="77777777" w:rsidR="000F3EF4" w:rsidRDefault="00000000">
            <w:r>
              <w:rPr>
                <w:sz w:val="18"/>
                <w:szCs w:val="18"/>
              </w:rPr>
              <w:t>NFR-003</w:t>
            </w:r>
          </w:p>
        </w:tc>
        <w:tc>
          <w:tcPr>
            <w:tcW w:w="1400" w:type="dxa"/>
            <w:vAlign w:val="center"/>
          </w:tcPr>
          <w:p w14:paraId="3C4EDBB6" w14:textId="77777777" w:rsidR="000F3EF4" w:rsidRDefault="00000000">
            <w:r>
              <w:rPr>
                <w:sz w:val="18"/>
                <w:szCs w:val="18"/>
              </w:rPr>
              <w:t>Reliability / Availability</w:t>
            </w:r>
          </w:p>
        </w:tc>
        <w:tc>
          <w:tcPr>
            <w:tcW w:w="2800" w:type="dxa"/>
            <w:vAlign w:val="center"/>
          </w:tcPr>
          <w:p w14:paraId="384FAC69" w14:textId="77777777" w:rsidR="000F3EF4" w:rsidRDefault="00000000">
            <w:r>
              <w:rPr>
                <w:sz w:val="18"/>
                <w:szCs w:val="18"/>
              </w:rPr>
              <w:t>The system shall be available for use during business hours with minimal unplanned downtime.</w:t>
            </w:r>
          </w:p>
        </w:tc>
        <w:tc>
          <w:tcPr>
            <w:tcW w:w="2600" w:type="dxa"/>
            <w:vAlign w:val="center"/>
          </w:tcPr>
          <w:p w14:paraId="63960312" w14:textId="77777777" w:rsidR="000F3EF4" w:rsidRDefault="00000000">
            <w:r>
              <w:rPr>
                <w:sz w:val="18"/>
                <w:szCs w:val="18"/>
              </w:rPr>
              <w:t>99.9% uptime (approx. 8.7 hours downtime/year).</w:t>
            </w:r>
          </w:p>
        </w:tc>
        <w:tc>
          <w:tcPr>
            <w:tcW w:w="2400" w:type="dxa"/>
            <w:vAlign w:val="center"/>
          </w:tcPr>
          <w:p w14:paraId="0D00BBF5" w14:textId="77777777" w:rsidR="000F3EF4" w:rsidRDefault="00000000">
            <w:r>
              <w:rPr>
                <w:sz w:val="18"/>
                <w:szCs w:val="18"/>
              </w:rPr>
              <w:t>Sales and Support depend on continuous CRM access; outages directly block revenue and service activity.</w:t>
            </w:r>
          </w:p>
        </w:tc>
        <w:tc>
          <w:tcPr>
            <w:tcW w:w="2400" w:type="dxa"/>
            <w:vAlign w:val="center"/>
          </w:tcPr>
          <w:p w14:paraId="7037677D" w14:textId="77777777" w:rsidR="000F3EF4" w:rsidRDefault="00000000">
            <w:r>
              <w:rPr>
                <w:sz w:val="18"/>
                <w:szCs w:val="18"/>
              </w:rPr>
              <w:t>Uptime monitoring dashboard; monthly availability report reviewed by System Architect.</w:t>
            </w:r>
          </w:p>
        </w:tc>
        <w:tc>
          <w:tcPr>
            <w:tcW w:w="700" w:type="dxa"/>
            <w:vAlign w:val="center"/>
          </w:tcPr>
          <w:p w14:paraId="188A1D2D" w14:textId="77777777" w:rsidR="000F3EF4" w:rsidRDefault="00000000">
            <w:r>
              <w:rPr>
                <w:sz w:val="18"/>
                <w:szCs w:val="18"/>
              </w:rPr>
              <w:t>Critical</w:t>
            </w:r>
          </w:p>
        </w:tc>
        <w:tc>
          <w:tcPr>
            <w:tcW w:w="1000" w:type="dxa"/>
            <w:vAlign w:val="center"/>
          </w:tcPr>
          <w:p w14:paraId="058DF715" w14:textId="77777777" w:rsidR="000F3EF4" w:rsidRDefault="00000000">
            <w:r>
              <w:rPr>
                <w:sz w:val="18"/>
                <w:szCs w:val="18"/>
              </w:rPr>
              <w:t>-</w:t>
            </w:r>
          </w:p>
        </w:tc>
      </w:tr>
      <w:tr w:rsidR="000F3EF4" w14:paraId="5FC2E5DA" w14:textId="77777777">
        <w:tblPrEx>
          <w:tblCellMar>
            <w:top w:w="0" w:type="dxa"/>
            <w:bottom w:w="0" w:type="dxa"/>
          </w:tblCellMar>
        </w:tblPrEx>
        <w:tc>
          <w:tcPr>
            <w:tcW w:w="700" w:type="dxa"/>
            <w:vAlign w:val="center"/>
          </w:tcPr>
          <w:p w14:paraId="3D289502" w14:textId="77777777" w:rsidR="000F3EF4" w:rsidRDefault="00000000">
            <w:r>
              <w:rPr>
                <w:sz w:val="18"/>
                <w:szCs w:val="18"/>
              </w:rPr>
              <w:t>NFR-004</w:t>
            </w:r>
          </w:p>
        </w:tc>
        <w:tc>
          <w:tcPr>
            <w:tcW w:w="1400" w:type="dxa"/>
            <w:vAlign w:val="center"/>
          </w:tcPr>
          <w:p w14:paraId="58E94F95" w14:textId="77777777" w:rsidR="000F3EF4" w:rsidRDefault="00000000">
            <w:r>
              <w:rPr>
                <w:sz w:val="18"/>
                <w:szCs w:val="18"/>
              </w:rPr>
              <w:t>Access Control</w:t>
            </w:r>
          </w:p>
        </w:tc>
        <w:tc>
          <w:tcPr>
            <w:tcW w:w="2800" w:type="dxa"/>
            <w:vAlign w:val="center"/>
          </w:tcPr>
          <w:p w14:paraId="099EE983" w14:textId="77777777" w:rsidR="000F3EF4" w:rsidRDefault="00000000">
            <w:r>
              <w:rPr>
                <w:sz w:val="18"/>
                <w:szCs w:val="18"/>
              </w:rPr>
              <w:t>Access to records and functionality shall be restricted according to the user's assigned Role.</w:t>
            </w:r>
          </w:p>
        </w:tc>
        <w:tc>
          <w:tcPr>
            <w:tcW w:w="2600" w:type="dxa"/>
            <w:vAlign w:val="center"/>
          </w:tcPr>
          <w:p w14:paraId="30710D06" w14:textId="77777777" w:rsidR="000F3EF4" w:rsidRDefault="00000000">
            <w:r>
              <w:rPr>
                <w:sz w:val="18"/>
                <w:szCs w:val="18"/>
              </w:rPr>
              <w:t>100% of screens/records enforce role-based visibility; no unauthorized cross-role data access in penetration testing.</w:t>
            </w:r>
          </w:p>
        </w:tc>
        <w:tc>
          <w:tcPr>
            <w:tcW w:w="2400" w:type="dxa"/>
            <w:vAlign w:val="center"/>
          </w:tcPr>
          <w:p w14:paraId="7C0D6F20" w14:textId="77777777" w:rsidR="000F3EF4" w:rsidRDefault="00000000">
            <w:r>
              <w:rPr>
                <w:sz w:val="18"/>
                <w:szCs w:val="18"/>
              </w:rPr>
              <w:t>Protects customer data and prevents unauthorized actions (e.g., a Sales Executive approving their own discount).</w:t>
            </w:r>
          </w:p>
        </w:tc>
        <w:tc>
          <w:tcPr>
            <w:tcW w:w="2400" w:type="dxa"/>
            <w:vAlign w:val="center"/>
          </w:tcPr>
          <w:p w14:paraId="2A6D1790" w14:textId="77777777" w:rsidR="000F3EF4" w:rsidRDefault="00000000">
            <w:r>
              <w:rPr>
                <w:sz w:val="18"/>
                <w:szCs w:val="18"/>
              </w:rPr>
              <w:t>Role-based access test cases executed per role during UAT; annual access review.</w:t>
            </w:r>
          </w:p>
        </w:tc>
        <w:tc>
          <w:tcPr>
            <w:tcW w:w="700" w:type="dxa"/>
            <w:vAlign w:val="center"/>
          </w:tcPr>
          <w:p w14:paraId="362DA962" w14:textId="77777777" w:rsidR="000F3EF4" w:rsidRDefault="00000000">
            <w:r>
              <w:rPr>
                <w:sz w:val="18"/>
                <w:szCs w:val="18"/>
              </w:rPr>
              <w:t>Critical</w:t>
            </w:r>
          </w:p>
        </w:tc>
        <w:tc>
          <w:tcPr>
            <w:tcW w:w="1000" w:type="dxa"/>
            <w:vAlign w:val="center"/>
          </w:tcPr>
          <w:p w14:paraId="10C7E5AD" w14:textId="77777777" w:rsidR="000F3EF4" w:rsidRDefault="00000000">
            <w:r>
              <w:rPr>
                <w:sz w:val="18"/>
                <w:szCs w:val="18"/>
              </w:rPr>
              <w:t>FR-026, BR-012</w:t>
            </w:r>
          </w:p>
        </w:tc>
      </w:tr>
      <w:tr w:rsidR="000F3EF4" w14:paraId="63E2F63A" w14:textId="77777777">
        <w:tblPrEx>
          <w:tblCellMar>
            <w:top w:w="0" w:type="dxa"/>
            <w:bottom w:w="0" w:type="dxa"/>
          </w:tblCellMar>
        </w:tblPrEx>
        <w:tc>
          <w:tcPr>
            <w:tcW w:w="700" w:type="dxa"/>
            <w:vAlign w:val="center"/>
          </w:tcPr>
          <w:p w14:paraId="52F8CB63" w14:textId="77777777" w:rsidR="000F3EF4" w:rsidRDefault="00000000">
            <w:r>
              <w:rPr>
                <w:sz w:val="18"/>
                <w:szCs w:val="18"/>
              </w:rPr>
              <w:t>NFR-005</w:t>
            </w:r>
          </w:p>
        </w:tc>
        <w:tc>
          <w:tcPr>
            <w:tcW w:w="1400" w:type="dxa"/>
            <w:vAlign w:val="center"/>
          </w:tcPr>
          <w:p w14:paraId="2D9F8416" w14:textId="77777777" w:rsidR="000F3EF4" w:rsidRDefault="00000000">
            <w:r>
              <w:rPr>
                <w:sz w:val="18"/>
                <w:szCs w:val="18"/>
              </w:rPr>
              <w:t>Auditability</w:t>
            </w:r>
          </w:p>
        </w:tc>
        <w:tc>
          <w:tcPr>
            <w:tcW w:w="2800" w:type="dxa"/>
            <w:vAlign w:val="center"/>
          </w:tcPr>
          <w:p w14:paraId="5B9B01C7" w14:textId="77777777" w:rsidR="000F3EF4" w:rsidRDefault="00000000">
            <w:r>
              <w:rPr>
                <w:sz w:val="18"/>
                <w:szCs w:val="18"/>
              </w:rPr>
              <w:t>Every Create, Update, and Delete action on a tracked object shall be logged with user, timestamp, and field-level change detail.</w:t>
            </w:r>
          </w:p>
        </w:tc>
        <w:tc>
          <w:tcPr>
            <w:tcW w:w="2600" w:type="dxa"/>
            <w:vAlign w:val="center"/>
          </w:tcPr>
          <w:p w14:paraId="64A01B90" w14:textId="77777777" w:rsidR="000F3EF4" w:rsidRDefault="00000000">
            <w:r>
              <w:rPr>
                <w:sz w:val="18"/>
                <w:szCs w:val="18"/>
              </w:rPr>
              <w:t>100% of CRUD operations produce a corresponding Audit Log entry with zero data loss.</w:t>
            </w:r>
          </w:p>
        </w:tc>
        <w:tc>
          <w:tcPr>
            <w:tcW w:w="2400" w:type="dxa"/>
            <w:vAlign w:val="center"/>
          </w:tcPr>
          <w:p w14:paraId="6D4E4F35" w14:textId="77777777" w:rsidR="000F3EF4" w:rsidRDefault="00000000">
            <w:proofErr w:type="gramStart"/>
            <w:r>
              <w:rPr>
                <w:sz w:val="18"/>
                <w:szCs w:val="18"/>
              </w:rPr>
              <w:t>Supports</w:t>
            </w:r>
            <w:proofErr w:type="gramEnd"/>
            <w:r>
              <w:rPr>
                <w:sz w:val="18"/>
                <w:szCs w:val="18"/>
              </w:rPr>
              <w:t xml:space="preserve"> compliance, dispute resolution, and change accountability (BR-011).</w:t>
            </w:r>
          </w:p>
        </w:tc>
        <w:tc>
          <w:tcPr>
            <w:tcW w:w="2400" w:type="dxa"/>
            <w:vAlign w:val="center"/>
          </w:tcPr>
          <w:p w14:paraId="704193AB" w14:textId="77777777" w:rsidR="000F3EF4" w:rsidRDefault="00000000">
            <w:r>
              <w:rPr>
                <w:sz w:val="18"/>
                <w:szCs w:val="18"/>
              </w:rPr>
              <w:t>Audit log completeness test: perform sample CRUD operations and confirm matching log entries.</w:t>
            </w:r>
          </w:p>
        </w:tc>
        <w:tc>
          <w:tcPr>
            <w:tcW w:w="700" w:type="dxa"/>
            <w:vAlign w:val="center"/>
          </w:tcPr>
          <w:p w14:paraId="1ECB0B39" w14:textId="77777777" w:rsidR="000F3EF4" w:rsidRDefault="00000000">
            <w:r>
              <w:rPr>
                <w:sz w:val="18"/>
                <w:szCs w:val="18"/>
              </w:rPr>
              <w:t>Critical</w:t>
            </w:r>
          </w:p>
        </w:tc>
        <w:tc>
          <w:tcPr>
            <w:tcW w:w="1000" w:type="dxa"/>
            <w:vAlign w:val="center"/>
          </w:tcPr>
          <w:p w14:paraId="6E7A462C" w14:textId="77777777" w:rsidR="000F3EF4" w:rsidRDefault="00000000">
            <w:r>
              <w:rPr>
                <w:sz w:val="18"/>
                <w:szCs w:val="18"/>
              </w:rPr>
              <w:t>FR-031, BR-011</w:t>
            </w:r>
          </w:p>
        </w:tc>
      </w:tr>
      <w:tr w:rsidR="000F3EF4" w14:paraId="328D8FE9" w14:textId="77777777">
        <w:tblPrEx>
          <w:tblCellMar>
            <w:top w:w="0" w:type="dxa"/>
            <w:bottom w:w="0" w:type="dxa"/>
          </w:tblCellMar>
        </w:tblPrEx>
        <w:tc>
          <w:tcPr>
            <w:tcW w:w="700" w:type="dxa"/>
            <w:vAlign w:val="center"/>
          </w:tcPr>
          <w:p w14:paraId="150CECCF" w14:textId="77777777" w:rsidR="000F3EF4" w:rsidRDefault="00000000">
            <w:r>
              <w:rPr>
                <w:sz w:val="18"/>
                <w:szCs w:val="18"/>
              </w:rPr>
              <w:t>NFR-006</w:t>
            </w:r>
          </w:p>
        </w:tc>
        <w:tc>
          <w:tcPr>
            <w:tcW w:w="1400" w:type="dxa"/>
            <w:vAlign w:val="center"/>
          </w:tcPr>
          <w:p w14:paraId="2BE57D98" w14:textId="77777777" w:rsidR="000F3EF4" w:rsidRDefault="00000000">
            <w:r>
              <w:rPr>
                <w:sz w:val="18"/>
                <w:szCs w:val="18"/>
              </w:rPr>
              <w:t>Data Security (Encryption)</w:t>
            </w:r>
          </w:p>
        </w:tc>
        <w:tc>
          <w:tcPr>
            <w:tcW w:w="2800" w:type="dxa"/>
            <w:vAlign w:val="center"/>
          </w:tcPr>
          <w:p w14:paraId="1E0FF322" w14:textId="77777777" w:rsidR="000F3EF4" w:rsidRDefault="00000000">
            <w:r>
              <w:rPr>
                <w:sz w:val="18"/>
                <w:szCs w:val="18"/>
              </w:rPr>
              <w:t>Customer and business data shall be encrypted both at rest and in transit.</w:t>
            </w:r>
          </w:p>
        </w:tc>
        <w:tc>
          <w:tcPr>
            <w:tcW w:w="2600" w:type="dxa"/>
            <w:vAlign w:val="center"/>
          </w:tcPr>
          <w:p w14:paraId="64EF1AB1" w14:textId="77777777" w:rsidR="000F3EF4" w:rsidRDefault="00000000">
            <w:r>
              <w:rPr>
                <w:sz w:val="18"/>
                <w:szCs w:val="18"/>
              </w:rPr>
              <w:t>TLS 1.2+ for all data in transit; AES-256 (or equivalent) for data at rest.</w:t>
            </w:r>
          </w:p>
        </w:tc>
        <w:tc>
          <w:tcPr>
            <w:tcW w:w="2400" w:type="dxa"/>
            <w:vAlign w:val="center"/>
          </w:tcPr>
          <w:p w14:paraId="43DFF31C" w14:textId="77777777" w:rsidR="000F3EF4" w:rsidRDefault="00000000">
            <w:r>
              <w:rPr>
                <w:sz w:val="18"/>
                <w:szCs w:val="18"/>
              </w:rPr>
              <w:t>Protects sensitive customer PII from interception or unauthorized access to backups/storage.</w:t>
            </w:r>
          </w:p>
        </w:tc>
        <w:tc>
          <w:tcPr>
            <w:tcW w:w="2400" w:type="dxa"/>
            <w:vAlign w:val="center"/>
          </w:tcPr>
          <w:p w14:paraId="017E47DA" w14:textId="77777777" w:rsidR="000F3EF4" w:rsidRDefault="00000000">
            <w:r>
              <w:rPr>
                <w:sz w:val="18"/>
                <w:szCs w:val="18"/>
              </w:rPr>
              <w:t>Security review of encryption configuration; verified during infrastructure sign-off.</w:t>
            </w:r>
          </w:p>
        </w:tc>
        <w:tc>
          <w:tcPr>
            <w:tcW w:w="700" w:type="dxa"/>
            <w:vAlign w:val="center"/>
          </w:tcPr>
          <w:p w14:paraId="64971F08" w14:textId="77777777" w:rsidR="000F3EF4" w:rsidRDefault="00000000">
            <w:r>
              <w:rPr>
                <w:sz w:val="18"/>
                <w:szCs w:val="18"/>
              </w:rPr>
              <w:t>Critical</w:t>
            </w:r>
          </w:p>
        </w:tc>
        <w:tc>
          <w:tcPr>
            <w:tcW w:w="1000" w:type="dxa"/>
            <w:vAlign w:val="center"/>
          </w:tcPr>
          <w:p w14:paraId="148E4F86" w14:textId="77777777" w:rsidR="000F3EF4" w:rsidRDefault="00000000">
            <w:r>
              <w:rPr>
                <w:sz w:val="18"/>
                <w:szCs w:val="18"/>
              </w:rPr>
              <w:t>NFR-011</w:t>
            </w:r>
          </w:p>
        </w:tc>
      </w:tr>
      <w:tr w:rsidR="000F3EF4" w14:paraId="7A6F3A2F" w14:textId="77777777">
        <w:tblPrEx>
          <w:tblCellMar>
            <w:top w:w="0" w:type="dxa"/>
            <w:bottom w:w="0" w:type="dxa"/>
          </w:tblCellMar>
        </w:tblPrEx>
        <w:tc>
          <w:tcPr>
            <w:tcW w:w="700" w:type="dxa"/>
            <w:vAlign w:val="center"/>
          </w:tcPr>
          <w:p w14:paraId="7BD6BB60" w14:textId="77777777" w:rsidR="000F3EF4" w:rsidRDefault="00000000">
            <w:r>
              <w:rPr>
                <w:sz w:val="18"/>
                <w:szCs w:val="18"/>
              </w:rPr>
              <w:t>NFR-007</w:t>
            </w:r>
          </w:p>
        </w:tc>
        <w:tc>
          <w:tcPr>
            <w:tcW w:w="1400" w:type="dxa"/>
            <w:vAlign w:val="center"/>
          </w:tcPr>
          <w:p w14:paraId="77DF5AFE" w14:textId="77777777" w:rsidR="000F3EF4" w:rsidRDefault="00000000">
            <w:r>
              <w:rPr>
                <w:sz w:val="18"/>
                <w:szCs w:val="18"/>
              </w:rPr>
              <w:t>Backup &amp; Recovery</w:t>
            </w:r>
          </w:p>
        </w:tc>
        <w:tc>
          <w:tcPr>
            <w:tcW w:w="2800" w:type="dxa"/>
            <w:vAlign w:val="center"/>
          </w:tcPr>
          <w:p w14:paraId="4EB2ABB2" w14:textId="77777777" w:rsidR="000F3EF4" w:rsidRDefault="00000000">
            <w:r>
              <w:rPr>
                <w:sz w:val="18"/>
                <w:szCs w:val="18"/>
              </w:rPr>
              <w:t>System data shall be backed up on a regular schedule to protect against data loss.</w:t>
            </w:r>
          </w:p>
        </w:tc>
        <w:tc>
          <w:tcPr>
            <w:tcW w:w="2600" w:type="dxa"/>
            <w:vAlign w:val="center"/>
          </w:tcPr>
          <w:p w14:paraId="3771BB62" w14:textId="77777777" w:rsidR="000F3EF4" w:rsidRDefault="00000000">
            <w:r>
              <w:rPr>
                <w:sz w:val="18"/>
                <w:szCs w:val="18"/>
              </w:rPr>
              <w:t>Daily automated backup; backup integrity verified weekly.</w:t>
            </w:r>
          </w:p>
        </w:tc>
        <w:tc>
          <w:tcPr>
            <w:tcW w:w="2400" w:type="dxa"/>
            <w:vAlign w:val="center"/>
          </w:tcPr>
          <w:p w14:paraId="212E71C6" w14:textId="77777777" w:rsidR="000F3EF4" w:rsidRDefault="00000000">
            <w:r>
              <w:rPr>
                <w:sz w:val="18"/>
                <w:szCs w:val="18"/>
              </w:rPr>
              <w:t>Protects the organization from data loss due to failure, error, or corruption.</w:t>
            </w:r>
          </w:p>
        </w:tc>
        <w:tc>
          <w:tcPr>
            <w:tcW w:w="2400" w:type="dxa"/>
            <w:vAlign w:val="center"/>
          </w:tcPr>
          <w:p w14:paraId="0DCF843C" w14:textId="77777777" w:rsidR="000F3EF4" w:rsidRDefault="00000000">
            <w:r>
              <w:rPr>
                <w:sz w:val="18"/>
                <w:szCs w:val="18"/>
              </w:rPr>
              <w:t>Scheduled backup logs reviewed monthly; periodic restore test.</w:t>
            </w:r>
          </w:p>
        </w:tc>
        <w:tc>
          <w:tcPr>
            <w:tcW w:w="700" w:type="dxa"/>
            <w:vAlign w:val="center"/>
          </w:tcPr>
          <w:p w14:paraId="6D10BA53" w14:textId="77777777" w:rsidR="000F3EF4" w:rsidRDefault="00000000">
            <w:r>
              <w:rPr>
                <w:sz w:val="18"/>
                <w:szCs w:val="18"/>
              </w:rPr>
              <w:t>High</w:t>
            </w:r>
          </w:p>
        </w:tc>
        <w:tc>
          <w:tcPr>
            <w:tcW w:w="1000" w:type="dxa"/>
            <w:vAlign w:val="center"/>
          </w:tcPr>
          <w:p w14:paraId="35C8FBC3" w14:textId="77777777" w:rsidR="000F3EF4" w:rsidRDefault="00000000">
            <w:r>
              <w:rPr>
                <w:sz w:val="18"/>
                <w:szCs w:val="18"/>
              </w:rPr>
              <w:t>NFR-016</w:t>
            </w:r>
          </w:p>
        </w:tc>
      </w:tr>
      <w:tr w:rsidR="000F3EF4" w14:paraId="7259C10C" w14:textId="77777777">
        <w:tblPrEx>
          <w:tblCellMar>
            <w:top w:w="0" w:type="dxa"/>
            <w:bottom w:w="0" w:type="dxa"/>
          </w:tblCellMar>
        </w:tblPrEx>
        <w:tc>
          <w:tcPr>
            <w:tcW w:w="700" w:type="dxa"/>
            <w:vAlign w:val="center"/>
          </w:tcPr>
          <w:p w14:paraId="18180ED1" w14:textId="77777777" w:rsidR="000F3EF4" w:rsidRDefault="00000000">
            <w:r>
              <w:rPr>
                <w:sz w:val="18"/>
                <w:szCs w:val="18"/>
              </w:rPr>
              <w:t>NFR-008</w:t>
            </w:r>
          </w:p>
        </w:tc>
        <w:tc>
          <w:tcPr>
            <w:tcW w:w="1400" w:type="dxa"/>
            <w:vAlign w:val="center"/>
          </w:tcPr>
          <w:p w14:paraId="6DFD3792" w14:textId="77777777" w:rsidR="000F3EF4" w:rsidRDefault="00000000">
            <w:r>
              <w:rPr>
                <w:sz w:val="18"/>
                <w:szCs w:val="18"/>
              </w:rPr>
              <w:t>Usability / Responsiveness</w:t>
            </w:r>
          </w:p>
        </w:tc>
        <w:tc>
          <w:tcPr>
            <w:tcW w:w="2800" w:type="dxa"/>
            <w:vAlign w:val="center"/>
          </w:tcPr>
          <w:p w14:paraId="2649DF77" w14:textId="77777777" w:rsidR="000F3EF4" w:rsidRDefault="00000000">
            <w:r>
              <w:rPr>
                <w:sz w:val="18"/>
                <w:szCs w:val="18"/>
              </w:rPr>
              <w:t>The user interface shall adapt cleanly across desktop, tablet, and mobile form factors.</w:t>
            </w:r>
          </w:p>
        </w:tc>
        <w:tc>
          <w:tcPr>
            <w:tcW w:w="2600" w:type="dxa"/>
            <w:vAlign w:val="center"/>
          </w:tcPr>
          <w:p w14:paraId="7B0EA2C8" w14:textId="77777777" w:rsidR="000F3EF4" w:rsidRDefault="00000000">
            <w:r>
              <w:rPr>
                <w:sz w:val="18"/>
                <w:szCs w:val="18"/>
              </w:rPr>
              <w:t>Core workflows (Lead, Opportunity, Ticket) usable without horizontal scrolling on screens down to 375px width.</w:t>
            </w:r>
          </w:p>
        </w:tc>
        <w:tc>
          <w:tcPr>
            <w:tcW w:w="2400" w:type="dxa"/>
            <w:vAlign w:val="center"/>
          </w:tcPr>
          <w:p w14:paraId="7B87C897" w14:textId="77777777" w:rsidR="000F3EF4" w:rsidRDefault="00000000">
            <w:r>
              <w:rPr>
                <w:sz w:val="18"/>
                <w:szCs w:val="18"/>
              </w:rPr>
              <w:t>Sales and Support staff frequently work from mobile devices in the field.</w:t>
            </w:r>
          </w:p>
        </w:tc>
        <w:tc>
          <w:tcPr>
            <w:tcW w:w="2400" w:type="dxa"/>
            <w:vAlign w:val="center"/>
          </w:tcPr>
          <w:p w14:paraId="23274577" w14:textId="77777777" w:rsidR="000F3EF4" w:rsidRDefault="00000000">
            <w:r>
              <w:rPr>
                <w:sz w:val="18"/>
                <w:szCs w:val="18"/>
              </w:rPr>
              <w:t>Manual UI review across target device/browser matrix (NFR-015) during QA.</w:t>
            </w:r>
          </w:p>
        </w:tc>
        <w:tc>
          <w:tcPr>
            <w:tcW w:w="700" w:type="dxa"/>
            <w:vAlign w:val="center"/>
          </w:tcPr>
          <w:p w14:paraId="34A09C68" w14:textId="77777777" w:rsidR="000F3EF4" w:rsidRDefault="00000000">
            <w:r>
              <w:rPr>
                <w:sz w:val="18"/>
                <w:szCs w:val="18"/>
              </w:rPr>
              <w:t>High</w:t>
            </w:r>
          </w:p>
        </w:tc>
        <w:tc>
          <w:tcPr>
            <w:tcW w:w="1000" w:type="dxa"/>
            <w:vAlign w:val="center"/>
          </w:tcPr>
          <w:p w14:paraId="109D01C6" w14:textId="77777777" w:rsidR="000F3EF4" w:rsidRDefault="00000000">
            <w:r>
              <w:rPr>
                <w:sz w:val="18"/>
                <w:szCs w:val="18"/>
              </w:rPr>
              <w:t>NFR-015</w:t>
            </w:r>
          </w:p>
        </w:tc>
      </w:tr>
      <w:tr w:rsidR="000F3EF4" w14:paraId="0495593E" w14:textId="77777777">
        <w:tblPrEx>
          <w:tblCellMar>
            <w:top w:w="0" w:type="dxa"/>
            <w:bottom w:w="0" w:type="dxa"/>
          </w:tblCellMar>
        </w:tblPrEx>
        <w:tc>
          <w:tcPr>
            <w:tcW w:w="700" w:type="dxa"/>
            <w:vAlign w:val="center"/>
          </w:tcPr>
          <w:p w14:paraId="784FEB6F" w14:textId="77777777" w:rsidR="000F3EF4" w:rsidRDefault="00000000">
            <w:r>
              <w:rPr>
                <w:sz w:val="18"/>
                <w:szCs w:val="18"/>
              </w:rPr>
              <w:t>NFR-009</w:t>
            </w:r>
          </w:p>
        </w:tc>
        <w:tc>
          <w:tcPr>
            <w:tcW w:w="1400" w:type="dxa"/>
            <w:vAlign w:val="center"/>
          </w:tcPr>
          <w:p w14:paraId="2D07E7C1" w14:textId="77777777" w:rsidR="000F3EF4" w:rsidRDefault="00000000">
            <w:r>
              <w:rPr>
                <w:sz w:val="18"/>
                <w:szCs w:val="18"/>
              </w:rPr>
              <w:t>Authentication Security</w:t>
            </w:r>
          </w:p>
        </w:tc>
        <w:tc>
          <w:tcPr>
            <w:tcW w:w="2800" w:type="dxa"/>
            <w:vAlign w:val="center"/>
          </w:tcPr>
          <w:p w14:paraId="23529648" w14:textId="77777777" w:rsidR="000F3EF4" w:rsidRDefault="00000000">
            <w:r>
              <w:rPr>
                <w:sz w:val="18"/>
                <w:szCs w:val="18"/>
              </w:rPr>
              <w:t>The system shall support secure sign-in, including SSO/OAuth, and shall protect against credential-based attacks.</w:t>
            </w:r>
          </w:p>
        </w:tc>
        <w:tc>
          <w:tcPr>
            <w:tcW w:w="2600" w:type="dxa"/>
            <w:vAlign w:val="center"/>
          </w:tcPr>
          <w:p w14:paraId="325C005B" w14:textId="77777777" w:rsidR="000F3EF4" w:rsidRDefault="00000000">
            <w:r>
              <w:rPr>
                <w:sz w:val="18"/>
                <w:szCs w:val="18"/>
              </w:rPr>
              <w:t>Google OAuth supported; password complexity enforced (min. 8 chars, mixed case, number); account lockout after 5 failed attempts.</w:t>
            </w:r>
          </w:p>
        </w:tc>
        <w:tc>
          <w:tcPr>
            <w:tcW w:w="2400" w:type="dxa"/>
            <w:vAlign w:val="center"/>
          </w:tcPr>
          <w:p w14:paraId="0E865F61" w14:textId="77777777" w:rsidR="000F3EF4" w:rsidRDefault="00000000">
            <w:r>
              <w:rPr>
                <w:sz w:val="18"/>
                <w:szCs w:val="18"/>
              </w:rPr>
              <w:t>Reduces risk of unauthorized account access and credential-stuffing attacks.</w:t>
            </w:r>
          </w:p>
        </w:tc>
        <w:tc>
          <w:tcPr>
            <w:tcW w:w="2400" w:type="dxa"/>
            <w:vAlign w:val="center"/>
          </w:tcPr>
          <w:p w14:paraId="5405C82E" w14:textId="77777777" w:rsidR="000F3EF4" w:rsidRDefault="00000000">
            <w:r>
              <w:rPr>
                <w:sz w:val="18"/>
                <w:szCs w:val="18"/>
              </w:rPr>
              <w:t>Security test: attempt lockout threshold; verify OAuth login path.</w:t>
            </w:r>
          </w:p>
        </w:tc>
        <w:tc>
          <w:tcPr>
            <w:tcW w:w="700" w:type="dxa"/>
            <w:vAlign w:val="center"/>
          </w:tcPr>
          <w:p w14:paraId="7CDD7289" w14:textId="77777777" w:rsidR="000F3EF4" w:rsidRDefault="00000000">
            <w:r>
              <w:rPr>
                <w:sz w:val="18"/>
                <w:szCs w:val="18"/>
              </w:rPr>
              <w:t>Critical</w:t>
            </w:r>
          </w:p>
        </w:tc>
        <w:tc>
          <w:tcPr>
            <w:tcW w:w="1000" w:type="dxa"/>
            <w:vAlign w:val="center"/>
          </w:tcPr>
          <w:p w14:paraId="567FEC34" w14:textId="77777777" w:rsidR="000F3EF4" w:rsidRDefault="00000000">
            <w:r>
              <w:rPr>
                <w:sz w:val="18"/>
                <w:szCs w:val="18"/>
              </w:rPr>
              <w:t>FR-001</w:t>
            </w:r>
          </w:p>
        </w:tc>
      </w:tr>
      <w:tr w:rsidR="000F3EF4" w14:paraId="3565BB81" w14:textId="77777777">
        <w:tblPrEx>
          <w:tblCellMar>
            <w:top w:w="0" w:type="dxa"/>
            <w:bottom w:w="0" w:type="dxa"/>
          </w:tblCellMar>
        </w:tblPrEx>
        <w:tc>
          <w:tcPr>
            <w:tcW w:w="700" w:type="dxa"/>
            <w:vAlign w:val="center"/>
          </w:tcPr>
          <w:p w14:paraId="708D4489" w14:textId="77777777" w:rsidR="000F3EF4" w:rsidRDefault="00000000">
            <w:r>
              <w:rPr>
                <w:sz w:val="18"/>
                <w:szCs w:val="18"/>
              </w:rPr>
              <w:t>NFR-010</w:t>
            </w:r>
          </w:p>
        </w:tc>
        <w:tc>
          <w:tcPr>
            <w:tcW w:w="1400" w:type="dxa"/>
            <w:vAlign w:val="center"/>
          </w:tcPr>
          <w:p w14:paraId="768B31A1" w14:textId="77777777" w:rsidR="000F3EF4" w:rsidRDefault="00000000">
            <w:r>
              <w:rPr>
                <w:sz w:val="18"/>
                <w:szCs w:val="18"/>
              </w:rPr>
              <w:t>Session Security</w:t>
            </w:r>
          </w:p>
        </w:tc>
        <w:tc>
          <w:tcPr>
            <w:tcW w:w="2800" w:type="dxa"/>
            <w:vAlign w:val="center"/>
          </w:tcPr>
          <w:p w14:paraId="54FBE30D" w14:textId="77777777" w:rsidR="000F3EF4" w:rsidRDefault="00000000">
            <w:r>
              <w:rPr>
                <w:sz w:val="18"/>
                <w:szCs w:val="18"/>
              </w:rPr>
              <w:t>User sessions shall expire after inactivity and be invalidated on credential change.</w:t>
            </w:r>
          </w:p>
        </w:tc>
        <w:tc>
          <w:tcPr>
            <w:tcW w:w="2600" w:type="dxa"/>
            <w:vAlign w:val="center"/>
          </w:tcPr>
          <w:p w14:paraId="5E424369" w14:textId="77777777" w:rsidR="000F3EF4" w:rsidRDefault="00000000">
            <w:r>
              <w:rPr>
                <w:sz w:val="18"/>
                <w:szCs w:val="18"/>
              </w:rPr>
              <w:t>Auto-logout after 30 minutes idle (configurable); session token invalidated immediately on password change.</w:t>
            </w:r>
          </w:p>
        </w:tc>
        <w:tc>
          <w:tcPr>
            <w:tcW w:w="2400" w:type="dxa"/>
            <w:vAlign w:val="center"/>
          </w:tcPr>
          <w:p w14:paraId="2F20FD3F" w14:textId="77777777" w:rsidR="000F3EF4" w:rsidRDefault="00000000">
            <w:r>
              <w:rPr>
                <w:sz w:val="18"/>
                <w:szCs w:val="18"/>
              </w:rPr>
              <w:t>Reduces exposure from unattended, logged-in sessions on shared or field devices.</w:t>
            </w:r>
          </w:p>
        </w:tc>
        <w:tc>
          <w:tcPr>
            <w:tcW w:w="2400" w:type="dxa"/>
            <w:vAlign w:val="center"/>
          </w:tcPr>
          <w:p w14:paraId="1FA01528" w14:textId="77777777" w:rsidR="000F3EF4" w:rsidRDefault="00000000">
            <w:r>
              <w:rPr>
                <w:sz w:val="18"/>
                <w:szCs w:val="18"/>
              </w:rPr>
              <w:t>Session-timeout test; password-change-then-reuse-old-token test.</w:t>
            </w:r>
          </w:p>
        </w:tc>
        <w:tc>
          <w:tcPr>
            <w:tcW w:w="700" w:type="dxa"/>
            <w:vAlign w:val="center"/>
          </w:tcPr>
          <w:p w14:paraId="5B586D01" w14:textId="77777777" w:rsidR="000F3EF4" w:rsidRDefault="00000000">
            <w:r>
              <w:rPr>
                <w:sz w:val="18"/>
                <w:szCs w:val="18"/>
              </w:rPr>
              <w:t>High</w:t>
            </w:r>
          </w:p>
        </w:tc>
        <w:tc>
          <w:tcPr>
            <w:tcW w:w="1000" w:type="dxa"/>
            <w:vAlign w:val="center"/>
          </w:tcPr>
          <w:p w14:paraId="6A5AB885" w14:textId="77777777" w:rsidR="000F3EF4" w:rsidRDefault="00000000">
            <w:r>
              <w:rPr>
                <w:sz w:val="18"/>
                <w:szCs w:val="18"/>
              </w:rPr>
              <w:t>FR-001</w:t>
            </w:r>
          </w:p>
        </w:tc>
      </w:tr>
      <w:tr w:rsidR="000F3EF4" w14:paraId="1FEFD1BC" w14:textId="77777777">
        <w:tblPrEx>
          <w:tblCellMar>
            <w:top w:w="0" w:type="dxa"/>
            <w:bottom w:w="0" w:type="dxa"/>
          </w:tblCellMar>
        </w:tblPrEx>
        <w:tc>
          <w:tcPr>
            <w:tcW w:w="700" w:type="dxa"/>
            <w:vAlign w:val="center"/>
          </w:tcPr>
          <w:p w14:paraId="1AD72100" w14:textId="77777777" w:rsidR="000F3EF4" w:rsidRDefault="00000000">
            <w:r>
              <w:rPr>
                <w:sz w:val="18"/>
                <w:szCs w:val="18"/>
              </w:rPr>
              <w:t>NFR-011</w:t>
            </w:r>
          </w:p>
        </w:tc>
        <w:tc>
          <w:tcPr>
            <w:tcW w:w="1400" w:type="dxa"/>
            <w:vAlign w:val="center"/>
          </w:tcPr>
          <w:p w14:paraId="4A19CE5F" w14:textId="77777777" w:rsidR="000F3EF4" w:rsidRDefault="00000000">
            <w:r>
              <w:rPr>
                <w:sz w:val="18"/>
                <w:szCs w:val="18"/>
              </w:rPr>
              <w:t>Data Privacy &amp; Compliance</w:t>
            </w:r>
          </w:p>
        </w:tc>
        <w:tc>
          <w:tcPr>
            <w:tcW w:w="2800" w:type="dxa"/>
            <w:vAlign w:val="center"/>
          </w:tcPr>
          <w:p w14:paraId="5B0EF664" w14:textId="77777777" w:rsidR="000F3EF4" w:rsidRDefault="00000000">
            <w:r>
              <w:rPr>
                <w:sz w:val="18"/>
                <w:szCs w:val="18"/>
              </w:rPr>
              <w:t>Handling of customer personal data shall comply with applicable Indian data-protection law.</w:t>
            </w:r>
          </w:p>
        </w:tc>
        <w:tc>
          <w:tcPr>
            <w:tcW w:w="2600" w:type="dxa"/>
            <w:vAlign w:val="center"/>
          </w:tcPr>
          <w:p w14:paraId="680F3909" w14:textId="77777777" w:rsidR="000F3EF4" w:rsidRDefault="00000000">
            <w:r>
              <w:rPr>
                <w:sz w:val="18"/>
                <w:szCs w:val="18"/>
              </w:rPr>
              <w:t>Consent capture at data collection; data-subject access and deletion-on-request fulfilled within the statutory timeframe.</w:t>
            </w:r>
          </w:p>
        </w:tc>
        <w:tc>
          <w:tcPr>
            <w:tcW w:w="2400" w:type="dxa"/>
            <w:vAlign w:val="center"/>
          </w:tcPr>
          <w:p w14:paraId="2B0BFEE3" w14:textId="77777777" w:rsidR="000F3EF4" w:rsidRDefault="00000000">
            <w:r>
              <w:rPr>
                <w:sz w:val="18"/>
                <w:szCs w:val="18"/>
              </w:rPr>
              <w:t>Legal/regulatory exposure if PII handling does not meet the Digital Personal Data Protection Act requirements.</w:t>
            </w:r>
          </w:p>
        </w:tc>
        <w:tc>
          <w:tcPr>
            <w:tcW w:w="2400" w:type="dxa"/>
            <w:vAlign w:val="center"/>
          </w:tcPr>
          <w:p w14:paraId="063E2488" w14:textId="77777777" w:rsidR="000F3EF4" w:rsidRDefault="00000000">
            <w:r>
              <w:rPr>
                <w:sz w:val="18"/>
                <w:szCs w:val="18"/>
              </w:rPr>
              <w:t>Compliance checklist review with legal counsel prior to go-live; periodic audit.</w:t>
            </w:r>
          </w:p>
        </w:tc>
        <w:tc>
          <w:tcPr>
            <w:tcW w:w="700" w:type="dxa"/>
            <w:vAlign w:val="center"/>
          </w:tcPr>
          <w:p w14:paraId="190C359F" w14:textId="77777777" w:rsidR="000F3EF4" w:rsidRDefault="00000000">
            <w:r>
              <w:rPr>
                <w:sz w:val="18"/>
                <w:szCs w:val="18"/>
              </w:rPr>
              <w:t>Critical</w:t>
            </w:r>
          </w:p>
        </w:tc>
        <w:tc>
          <w:tcPr>
            <w:tcW w:w="1000" w:type="dxa"/>
            <w:vAlign w:val="center"/>
          </w:tcPr>
          <w:p w14:paraId="0471E1CB" w14:textId="77777777" w:rsidR="000F3EF4" w:rsidRDefault="00000000">
            <w:r>
              <w:rPr>
                <w:sz w:val="18"/>
                <w:szCs w:val="18"/>
              </w:rPr>
              <w:t>BR-001, BR-002</w:t>
            </w:r>
          </w:p>
        </w:tc>
      </w:tr>
      <w:tr w:rsidR="000F3EF4" w14:paraId="66FDE1F3" w14:textId="77777777">
        <w:tblPrEx>
          <w:tblCellMar>
            <w:top w:w="0" w:type="dxa"/>
            <w:bottom w:w="0" w:type="dxa"/>
          </w:tblCellMar>
        </w:tblPrEx>
        <w:tc>
          <w:tcPr>
            <w:tcW w:w="700" w:type="dxa"/>
            <w:vAlign w:val="center"/>
          </w:tcPr>
          <w:p w14:paraId="4E4DDA7C" w14:textId="77777777" w:rsidR="000F3EF4" w:rsidRDefault="00000000">
            <w:r>
              <w:rPr>
                <w:sz w:val="18"/>
                <w:szCs w:val="18"/>
              </w:rPr>
              <w:lastRenderedPageBreak/>
              <w:t>NFR-012</w:t>
            </w:r>
          </w:p>
        </w:tc>
        <w:tc>
          <w:tcPr>
            <w:tcW w:w="1400" w:type="dxa"/>
            <w:vAlign w:val="center"/>
          </w:tcPr>
          <w:p w14:paraId="1BC3A1F0" w14:textId="77777777" w:rsidR="000F3EF4" w:rsidRDefault="00000000">
            <w:r>
              <w:rPr>
                <w:sz w:val="18"/>
                <w:szCs w:val="18"/>
              </w:rPr>
              <w:t>Data Retention</w:t>
            </w:r>
          </w:p>
        </w:tc>
        <w:tc>
          <w:tcPr>
            <w:tcW w:w="2800" w:type="dxa"/>
            <w:vAlign w:val="center"/>
          </w:tcPr>
          <w:p w14:paraId="3B283454" w14:textId="77777777" w:rsidR="000F3EF4" w:rsidRDefault="00000000">
            <w:r>
              <w:rPr>
                <w:sz w:val="18"/>
                <w:szCs w:val="18"/>
              </w:rPr>
              <w:t>Closed/resolved records shall follow a defined retention period before archival, consistent with the no-hard-delete rule.</w:t>
            </w:r>
          </w:p>
        </w:tc>
        <w:tc>
          <w:tcPr>
            <w:tcW w:w="2600" w:type="dxa"/>
            <w:vAlign w:val="center"/>
          </w:tcPr>
          <w:p w14:paraId="106C4094" w14:textId="77777777" w:rsidR="000F3EF4" w:rsidRDefault="00000000">
            <w:r>
              <w:rPr>
                <w:sz w:val="18"/>
                <w:szCs w:val="18"/>
              </w:rPr>
              <w:t>Retention period defined per object type (e.g., closed leads, resolved tickets, audit logs) and enforced by a scheduled archival job.</w:t>
            </w:r>
          </w:p>
        </w:tc>
        <w:tc>
          <w:tcPr>
            <w:tcW w:w="2400" w:type="dxa"/>
            <w:vAlign w:val="center"/>
          </w:tcPr>
          <w:p w14:paraId="23F61AE0" w14:textId="77777777" w:rsidR="000F3EF4" w:rsidRDefault="00000000">
            <w:r>
              <w:rPr>
                <w:sz w:val="18"/>
                <w:szCs w:val="18"/>
              </w:rPr>
              <w:t>Balances storage cost and compliance against BR-015 (no permanent customer deletion).</w:t>
            </w:r>
          </w:p>
        </w:tc>
        <w:tc>
          <w:tcPr>
            <w:tcW w:w="2400" w:type="dxa"/>
            <w:vAlign w:val="center"/>
          </w:tcPr>
          <w:p w14:paraId="3371C430" w14:textId="77777777" w:rsidR="000F3EF4" w:rsidRDefault="00000000">
            <w:r>
              <w:rPr>
                <w:sz w:val="18"/>
                <w:szCs w:val="18"/>
              </w:rPr>
              <w:t>Verify archival job output against the defined retention schedule.</w:t>
            </w:r>
          </w:p>
        </w:tc>
        <w:tc>
          <w:tcPr>
            <w:tcW w:w="700" w:type="dxa"/>
            <w:vAlign w:val="center"/>
          </w:tcPr>
          <w:p w14:paraId="2E8043D9" w14:textId="77777777" w:rsidR="000F3EF4" w:rsidRDefault="00000000">
            <w:r>
              <w:rPr>
                <w:sz w:val="18"/>
                <w:szCs w:val="18"/>
              </w:rPr>
              <w:t>Medium</w:t>
            </w:r>
          </w:p>
        </w:tc>
        <w:tc>
          <w:tcPr>
            <w:tcW w:w="1000" w:type="dxa"/>
            <w:vAlign w:val="center"/>
          </w:tcPr>
          <w:p w14:paraId="09B7B094" w14:textId="77777777" w:rsidR="000F3EF4" w:rsidRDefault="00000000">
            <w:r>
              <w:rPr>
                <w:sz w:val="18"/>
                <w:szCs w:val="18"/>
              </w:rPr>
              <w:t>BR-015</w:t>
            </w:r>
          </w:p>
        </w:tc>
      </w:tr>
      <w:tr w:rsidR="000F3EF4" w14:paraId="6B51B0DF" w14:textId="77777777">
        <w:tblPrEx>
          <w:tblCellMar>
            <w:top w:w="0" w:type="dxa"/>
            <w:bottom w:w="0" w:type="dxa"/>
          </w:tblCellMar>
        </w:tblPrEx>
        <w:tc>
          <w:tcPr>
            <w:tcW w:w="700" w:type="dxa"/>
            <w:vAlign w:val="center"/>
          </w:tcPr>
          <w:p w14:paraId="34D20C5B" w14:textId="77777777" w:rsidR="000F3EF4" w:rsidRDefault="00000000">
            <w:r>
              <w:rPr>
                <w:sz w:val="18"/>
                <w:szCs w:val="18"/>
              </w:rPr>
              <w:t>NFR-013</w:t>
            </w:r>
          </w:p>
        </w:tc>
        <w:tc>
          <w:tcPr>
            <w:tcW w:w="1400" w:type="dxa"/>
            <w:vAlign w:val="center"/>
          </w:tcPr>
          <w:p w14:paraId="7930DA2B" w14:textId="77777777" w:rsidR="000F3EF4" w:rsidRDefault="00000000">
            <w:r>
              <w:rPr>
                <w:sz w:val="18"/>
                <w:szCs w:val="18"/>
              </w:rPr>
              <w:t>Integration Resilience</w:t>
            </w:r>
          </w:p>
        </w:tc>
        <w:tc>
          <w:tcPr>
            <w:tcW w:w="2800" w:type="dxa"/>
            <w:vAlign w:val="center"/>
          </w:tcPr>
          <w:p w14:paraId="622E9F07" w14:textId="77777777" w:rsidR="000F3EF4" w:rsidRDefault="00000000">
            <w:r>
              <w:rPr>
                <w:sz w:val="18"/>
                <w:szCs w:val="18"/>
              </w:rPr>
              <w:t>Failures in third-party API calls shall be logged, retried, and surfaced to CRM Admin rather than failing silently.</w:t>
            </w:r>
          </w:p>
        </w:tc>
        <w:tc>
          <w:tcPr>
            <w:tcW w:w="2600" w:type="dxa"/>
            <w:vAlign w:val="center"/>
          </w:tcPr>
          <w:p w14:paraId="3197AFAD" w14:textId="77777777" w:rsidR="000F3EF4" w:rsidRDefault="00000000">
            <w:r>
              <w:rPr>
                <w:sz w:val="18"/>
                <w:szCs w:val="18"/>
              </w:rPr>
              <w:t>Automatic retry with exponential backoff (e.g., 3 attempts); 100% of failures logged and visible in the integration log (FR-030).</w:t>
            </w:r>
          </w:p>
        </w:tc>
        <w:tc>
          <w:tcPr>
            <w:tcW w:w="2400" w:type="dxa"/>
            <w:vAlign w:val="center"/>
          </w:tcPr>
          <w:p w14:paraId="233B5B6A" w14:textId="77777777" w:rsidR="000F3EF4" w:rsidRDefault="00000000">
            <w:r>
              <w:rPr>
                <w:sz w:val="18"/>
                <w:szCs w:val="18"/>
              </w:rPr>
              <w:t>Prevents silent data loss or broken workflows when Email/WhatsApp/ERP/Payment Gateway APIs are temporarily unavailable.</w:t>
            </w:r>
          </w:p>
        </w:tc>
        <w:tc>
          <w:tcPr>
            <w:tcW w:w="2400" w:type="dxa"/>
            <w:vAlign w:val="center"/>
          </w:tcPr>
          <w:p w14:paraId="372EA3A3" w14:textId="77777777" w:rsidR="000F3EF4" w:rsidRDefault="00000000">
            <w:r>
              <w:rPr>
                <w:sz w:val="18"/>
                <w:szCs w:val="18"/>
              </w:rPr>
              <w:t>Simulated API failure test; confirm retry behavior and log entry.</w:t>
            </w:r>
          </w:p>
        </w:tc>
        <w:tc>
          <w:tcPr>
            <w:tcW w:w="700" w:type="dxa"/>
            <w:vAlign w:val="center"/>
          </w:tcPr>
          <w:p w14:paraId="13486B8D" w14:textId="77777777" w:rsidR="000F3EF4" w:rsidRDefault="00000000">
            <w:r>
              <w:rPr>
                <w:sz w:val="18"/>
                <w:szCs w:val="18"/>
              </w:rPr>
              <w:t>High</w:t>
            </w:r>
          </w:p>
        </w:tc>
        <w:tc>
          <w:tcPr>
            <w:tcW w:w="1000" w:type="dxa"/>
            <w:vAlign w:val="center"/>
          </w:tcPr>
          <w:p w14:paraId="5C52B0B3" w14:textId="77777777" w:rsidR="000F3EF4" w:rsidRDefault="00000000">
            <w:r>
              <w:rPr>
                <w:sz w:val="18"/>
                <w:szCs w:val="18"/>
              </w:rPr>
              <w:t>FR-030</w:t>
            </w:r>
          </w:p>
        </w:tc>
      </w:tr>
      <w:tr w:rsidR="000F3EF4" w14:paraId="0D73ACEF" w14:textId="77777777">
        <w:tblPrEx>
          <w:tblCellMar>
            <w:top w:w="0" w:type="dxa"/>
            <w:bottom w:w="0" w:type="dxa"/>
          </w:tblCellMar>
        </w:tblPrEx>
        <w:tc>
          <w:tcPr>
            <w:tcW w:w="700" w:type="dxa"/>
            <w:vAlign w:val="center"/>
          </w:tcPr>
          <w:p w14:paraId="37FB3FCB" w14:textId="77777777" w:rsidR="000F3EF4" w:rsidRDefault="00000000">
            <w:r>
              <w:rPr>
                <w:sz w:val="18"/>
                <w:szCs w:val="18"/>
              </w:rPr>
              <w:t>NFR-014</w:t>
            </w:r>
          </w:p>
        </w:tc>
        <w:tc>
          <w:tcPr>
            <w:tcW w:w="1400" w:type="dxa"/>
            <w:vAlign w:val="center"/>
          </w:tcPr>
          <w:p w14:paraId="3CCB0E10" w14:textId="77777777" w:rsidR="000F3EF4" w:rsidRDefault="00000000">
            <w:r>
              <w:rPr>
                <w:sz w:val="18"/>
                <w:szCs w:val="18"/>
              </w:rPr>
              <w:t>Localization</w:t>
            </w:r>
          </w:p>
        </w:tc>
        <w:tc>
          <w:tcPr>
            <w:tcW w:w="2800" w:type="dxa"/>
            <w:vAlign w:val="center"/>
          </w:tcPr>
          <w:p w14:paraId="54E741F2" w14:textId="77777777" w:rsidR="000F3EF4" w:rsidRDefault="00000000">
            <w:r>
              <w:rPr>
                <w:sz w:val="18"/>
                <w:szCs w:val="18"/>
              </w:rPr>
              <w:t>The user interface and outbound communication templates shall support multiple languages.</w:t>
            </w:r>
          </w:p>
        </w:tc>
        <w:tc>
          <w:tcPr>
            <w:tcW w:w="2600" w:type="dxa"/>
            <w:vAlign w:val="center"/>
          </w:tcPr>
          <w:p w14:paraId="46D9BB5A" w14:textId="77777777" w:rsidR="000F3EF4" w:rsidRDefault="00000000">
            <w:r>
              <w:rPr>
                <w:sz w:val="18"/>
                <w:szCs w:val="18"/>
              </w:rPr>
              <w:t>English plus at least one regional language at launch; architecture supports adding further languages without redevelopment.</w:t>
            </w:r>
          </w:p>
        </w:tc>
        <w:tc>
          <w:tcPr>
            <w:tcW w:w="2400" w:type="dxa"/>
            <w:vAlign w:val="center"/>
          </w:tcPr>
          <w:p w14:paraId="29F54EC1" w14:textId="77777777" w:rsidR="000F3EF4" w:rsidRDefault="00000000">
            <w:r>
              <w:rPr>
                <w:sz w:val="18"/>
                <w:szCs w:val="18"/>
              </w:rPr>
              <w:t>Supports adoption across regionally diverse Sales/Support/Marketing teams and customers.</w:t>
            </w:r>
          </w:p>
        </w:tc>
        <w:tc>
          <w:tcPr>
            <w:tcW w:w="2400" w:type="dxa"/>
            <w:vAlign w:val="center"/>
          </w:tcPr>
          <w:p w14:paraId="42DAFA89" w14:textId="77777777" w:rsidR="000F3EF4" w:rsidRDefault="00000000">
            <w:r>
              <w:rPr>
                <w:sz w:val="18"/>
                <w:szCs w:val="18"/>
              </w:rPr>
              <w:t>UI language-switch test; template rendering test in each supported language.</w:t>
            </w:r>
          </w:p>
        </w:tc>
        <w:tc>
          <w:tcPr>
            <w:tcW w:w="700" w:type="dxa"/>
            <w:vAlign w:val="center"/>
          </w:tcPr>
          <w:p w14:paraId="65CA2AFD" w14:textId="77777777" w:rsidR="000F3EF4" w:rsidRDefault="00000000">
            <w:r>
              <w:rPr>
                <w:sz w:val="18"/>
                <w:szCs w:val="18"/>
              </w:rPr>
              <w:t>Medium</w:t>
            </w:r>
          </w:p>
        </w:tc>
        <w:tc>
          <w:tcPr>
            <w:tcW w:w="1000" w:type="dxa"/>
            <w:vAlign w:val="center"/>
          </w:tcPr>
          <w:p w14:paraId="17E02838" w14:textId="77777777" w:rsidR="000F3EF4" w:rsidRDefault="00000000">
            <w:r>
              <w:rPr>
                <w:sz w:val="18"/>
                <w:szCs w:val="18"/>
              </w:rPr>
              <w:t>-</w:t>
            </w:r>
          </w:p>
        </w:tc>
      </w:tr>
      <w:tr w:rsidR="000F3EF4" w14:paraId="2FA51852" w14:textId="77777777">
        <w:tblPrEx>
          <w:tblCellMar>
            <w:top w:w="0" w:type="dxa"/>
            <w:bottom w:w="0" w:type="dxa"/>
          </w:tblCellMar>
        </w:tblPrEx>
        <w:tc>
          <w:tcPr>
            <w:tcW w:w="700" w:type="dxa"/>
            <w:vAlign w:val="center"/>
          </w:tcPr>
          <w:p w14:paraId="29BE1655" w14:textId="77777777" w:rsidR="000F3EF4" w:rsidRDefault="00000000">
            <w:r>
              <w:rPr>
                <w:sz w:val="18"/>
                <w:szCs w:val="18"/>
              </w:rPr>
              <w:t>NFR-015</w:t>
            </w:r>
          </w:p>
        </w:tc>
        <w:tc>
          <w:tcPr>
            <w:tcW w:w="1400" w:type="dxa"/>
            <w:vAlign w:val="center"/>
          </w:tcPr>
          <w:p w14:paraId="7C6B759F" w14:textId="77777777" w:rsidR="000F3EF4" w:rsidRDefault="00000000">
            <w:r>
              <w:rPr>
                <w:sz w:val="18"/>
                <w:szCs w:val="18"/>
              </w:rPr>
              <w:t>Browser &amp; Device Compatibility</w:t>
            </w:r>
          </w:p>
        </w:tc>
        <w:tc>
          <w:tcPr>
            <w:tcW w:w="2800" w:type="dxa"/>
            <w:vAlign w:val="center"/>
          </w:tcPr>
          <w:p w14:paraId="418C3E30" w14:textId="77777777" w:rsidR="000F3EF4" w:rsidRDefault="00000000">
            <w:r>
              <w:rPr>
                <w:sz w:val="18"/>
                <w:szCs w:val="18"/>
              </w:rPr>
              <w:t>The system shall function correctly on a defined set of supported browsers and mobile operating systems.</w:t>
            </w:r>
          </w:p>
        </w:tc>
        <w:tc>
          <w:tcPr>
            <w:tcW w:w="2600" w:type="dxa"/>
            <w:vAlign w:val="center"/>
          </w:tcPr>
          <w:p w14:paraId="3C3A80CB" w14:textId="77777777" w:rsidR="000F3EF4" w:rsidRDefault="00000000">
            <w:r>
              <w:rPr>
                <w:sz w:val="18"/>
                <w:szCs w:val="18"/>
              </w:rPr>
              <w:t>Last 2 major versions of Chrome, Edge, and Safari; current and prior major mobile OS versions.</w:t>
            </w:r>
          </w:p>
        </w:tc>
        <w:tc>
          <w:tcPr>
            <w:tcW w:w="2400" w:type="dxa"/>
            <w:vAlign w:val="center"/>
          </w:tcPr>
          <w:p w14:paraId="2B6BBEEB" w14:textId="77777777" w:rsidR="000F3EF4" w:rsidRDefault="00000000">
            <w:r>
              <w:rPr>
                <w:sz w:val="18"/>
                <w:szCs w:val="18"/>
              </w:rPr>
              <w:t>Ensures a consistent experience without requiring support for every legacy browser/device combination.</w:t>
            </w:r>
          </w:p>
        </w:tc>
        <w:tc>
          <w:tcPr>
            <w:tcW w:w="2400" w:type="dxa"/>
            <w:vAlign w:val="center"/>
          </w:tcPr>
          <w:p w14:paraId="5F8808AC" w14:textId="77777777" w:rsidR="000F3EF4" w:rsidRDefault="00000000">
            <w:r>
              <w:rPr>
                <w:sz w:val="18"/>
                <w:szCs w:val="18"/>
              </w:rPr>
              <w:t>Cross-browser/device test pass during QA regression.</w:t>
            </w:r>
          </w:p>
        </w:tc>
        <w:tc>
          <w:tcPr>
            <w:tcW w:w="700" w:type="dxa"/>
            <w:vAlign w:val="center"/>
          </w:tcPr>
          <w:p w14:paraId="00C19D62" w14:textId="77777777" w:rsidR="000F3EF4" w:rsidRDefault="00000000">
            <w:r>
              <w:rPr>
                <w:sz w:val="18"/>
                <w:szCs w:val="18"/>
              </w:rPr>
              <w:t>High</w:t>
            </w:r>
          </w:p>
        </w:tc>
        <w:tc>
          <w:tcPr>
            <w:tcW w:w="1000" w:type="dxa"/>
            <w:vAlign w:val="center"/>
          </w:tcPr>
          <w:p w14:paraId="1EBF657C" w14:textId="77777777" w:rsidR="000F3EF4" w:rsidRDefault="00000000">
            <w:r>
              <w:rPr>
                <w:sz w:val="18"/>
                <w:szCs w:val="18"/>
              </w:rPr>
              <w:t>NFR-008</w:t>
            </w:r>
          </w:p>
        </w:tc>
      </w:tr>
      <w:tr w:rsidR="000F3EF4" w14:paraId="04352C8C" w14:textId="77777777">
        <w:tblPrEx>
          <w:tblCellMar>
            <w:top w:w="0" w:type="dxa"/>
            <w:bottom w:w="0" w:type="dxa"/>
          </w:tblCellMar>
        </w:tblPrEx>
        <w:tc>
          <w:tcPr>
            <w:tcW w:w="700" w:type="dxa"/>
            <w:vAlign w:val="center"/>
          </w:tcPr>
          <w:p w14:paraId="6BA2D1B3" w14:textId="77777777" w:rsidR="000F3EF4" w:rsidRDefault="00000000">
            <w:r>
              <w:rPr>
                <w:sz w:val="18"/>
                <w:szCs w:val="18"/>
              </w:rPr>
              <w:t>NFR-016</w:t>
            </w:r>
          </w:p>
        </w:tc>
        <w:tc>
          <w:tcPr>
            <w:tcW w:w="1400" w:type="dxa"/>
            <w:vAlign w:val="center"/>
          </w:tcPr>
          <w:p w14:paraId="6053A24B" w14:textId="77777777" w:rsidR="000F3EF4" w:rsidRDefault="00000000">
            <w:r>
              <w:rPr>
                <w:sz w:val="18"/>
                <w:szCs w:val="18"/>
              </w:rPr>
              <w:t>Disaster Recovery Targets</w:t>
            </w:r>
          </w:p>
        </w:tc>
        <w:tc>
          <w:tcPr>
            <w:tcW w:w="2800" w:type="dxa"/>
            <w:vAlign w:val="center"/>
          </w:tcPr>
          <w:p w14:paraId="03860CD0" w14:textId="77777777" w:rsidR="000F3EF4" w:rsidRDefault="00000000">
            <w:r>
              <w:rPr>
                <w:sz w:val="18"/>
                <w:szCs w:val="18"/>
              </w:rPr>
              <w:t>The system shall define and meet explicit recovery objectives in addition to routine backup.</w:t>
            </w:r>
          </w:p>
        </w:tc>
        <w:tc>
          <w:tcPr>
            <w:tcW w:w="2600" w:type="dxa"/>
            <w:vAlign w:val="center"/>
          </w:tcPr>
          <w:p w14:paraId="48A63AD0" w14:textId="77777777" w:rsidR="000F3EF4" w:rsidRDefault="00000000">
            <w:r>
              <w:rPr>
                <w:sz w:val="18"/>
                <w:szCs w:val="18"/>
              </w:rPr>
              <w:t>Recovery Point Objective (RPO): 24 hours. Recovery Time Objective (RTO): 8 business hours.</w:t>
            </w:r>
          </w:p>
        </w:tc>
        <w:tc>
          <w:tcPr>
            <w:tcW w:w="2400" w:type="dxa"/>
            <w:vAlign w:val="center"/>
          </w:tcPr>
          <w:p w14:paraId="2C2B20B2" w14:textId="77777777" w:rsidR="000F3EF4" w:rsidRDefault="00000000">
            <w:r>
              <w:rPr>
                <w:sz w:val="18"/>
                <w:szCs w:val="18"/>
              </w:rPr>
              <w:t>Gives the business a concrete commitment on data-loss exposure and downtime duration in a disaster scenario.</w:t>
            </w:r>
          </w:p>
        </w:tc>
        <w:tc>
          <w:tcPr>
            <w:tcW w:w="2400" w:type="dxa"/>
            <w:vAlign w:val="center"/>
          </w:tcPr>
          <w:p w14:paraId="0D920C0F" w14:textId="77777777" w:rsidR="000F3EF4" w:rsidRDefault="00000000">
            <w:r>
              <w:rPr>
                <w:sz w:val="18"/>
                <w:szCs w:val="18"/>
              </w:rPr>
              <w:t>Disaster-recovery drill conducted at least annually; results measured against RPO/RTO targets.</w:t>
            </w:r>
          </w:p>
        </w:tc>
        <w:tc>
          <w:tcPr>
            <w:tcW w:w="700" w:type="dxa"/>
            <w:vAlign w:val="center"/>
          </w:tcPr>
          <w:p w14:paraId="36E54230" w14:textId="77777777" w:rsidR="000F3EF4" w:rsidRDefault="00000000">
            <w:r>
              <w:rPr>
                <w:sz w:val="18"/>
                <w:szCs w:val="18"/>
              </w:rPr>
              <w:t>High</w:t>
            </w:r>
          </w:p>
        </w:tc>
        <w:tc>
          <w:tcPr>
            <w:tcW w:w="1000" w:type="dxa"/>
            <w:vAlign w:val="center"/>
          </w:tcPr>
          <w:p w14:paraId="142901C2" w14:textId="77777777" w:rsidR="000F3EF4" w:rsidRDefault="00000000">
            <w:r>
              <w:rPr>
                <w:sz w:val="18"/>
                <w:szCs w:val="18"/>
              </w:rPr>
              <w:t>NFR-007</w:t>
            </w:r>
          </w:p>
        </w:tc>
      </w:tr>
    </w:tbl>
    <w:p w14:paraId="06FAABC3" w14:textId="77777777" w:rsidR="00BA7A75" w:rsidRDefault="00BA7A75"/>
    <w:sectPr w:rsidR="00BA7A75">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4B27"/>
    <w:multiLevelType w:val="hybridMultilevel"/>
    <w:tmpl w:val="2CD07B66"/>
    <w:lvl w:ilvl="0" w:tplc="960817F2">
      <w:start w:val="1"/>
      <w:numFmt w:val="bullet"/>
      <w:lvlText w:val="●"/>
      <w:lvlJc w:val="left"/>
      <w:pPr>
        <w:ind w:left="720" w:hanging="360"/>
      </w:pPr>
    </w:lvl>
    <w:lvl w:ilvl="1" w:tplc="12A2478C">
      <w:start w:val="1"/>
      <w:numFmt w:val="bullet"/>
      <w:lvlText w:val="○"/>
      <w:lvlJc w:val="left"/>
      <w:pPr>
        <w:ind w:left="1440" w:hanging="360"/>
      </w:pPr>
    </w:lvl>
    <w:lvl w:ilvl="2" w:tplc="511648BE">
      <w:start w:val="1"/>
      <w:numFmt w:val="bullet"/>
      <w:lvlText w:val="■"/>
      <w:lvlJc w:val="left"/>
      <w:pPr>
        <w:ind w:left="2160" w:hanging="360"/>
      </w:pPr>
    </w:lvl>
    <w:lvl w:ilvl="3" w:tplc="12AC9800">
      <w:start w:val="1"/>
      <w:numFmt w:val="bullet"/>
      <w:lvlText w:val="●"/>
      <w:lvlJc w:val="left"/>
      <w:pPr>
        <w:ind w:left="2880" w:hanging="360"/>
      </w:pPr>
    </w:lvl>
    <w:lvl w:ilvl="4" w:tplc="BF6631FA">
      <w:start w:val="1"/>
      <w:numFmt w:val="bullet"/>
      <w:lvlText w:val="○"/>
      <w:lvlJc w:val="left"/>
      <w:pPr>
        <w:ind w:left="3600" w:hanging="360"/>
      </w:pPr>
    </w:lvl>
    <w:lvl w:ilvl="5" w:tplc="8BF242E8">
      <w:start w:val="1"/>
      <w:numFmt w:val="bullet"/>
      <w:lvlText w:val="■"/>
      <w:lvlJc w:val="left"/>
      <w:pPr>
        <w:ind w:left="4320" w:hanging="360"/>
      </w:pPr>
    </w:lvl>
    <w:lvl w:ilvl="6" w:tplc="3D9A998E">
      <w:start w:val="1"/>
      <w:numFmt w:val="bullet"/>
      <w:lvlText w:val="●"/>
      <w:lvlJc w:val="left"/>
      <w:pPr>
        <w:ind w:left="5040" w:hanging="360"/>
      </w:pPr>
    </w:lvl>
    <w:lvl w:ilvl="7" w:tplc="79C01FEA">
      <w:start w:val="1"/>
      <w:numFmt w:val="bullet"/>
      <w:lvlText w:val="●"/>
      <w:lvlJc w:val="left"/>
      <w:pPr>
        <w:ind w:left="5760" w:hanging="360"/>
      </w:pPr>
    </w:lvl>
    <w:lvl w:ilvl="8" w:tplc="B80C5B9E">
      <w:start w:val="1"/>
      <w:numFmt w:val="bullet"/>
      <w:lvlText w:val="●"/>
      <w:lvlJc w:val="left"/>
      <w:pPr>
        <w:ind w:left="6480" w:hanging="360"/>
      </w:pPr>
    </w:lvl>
  </w:abstractNum>
  <w:num w:numId="1" w16cid:durableId="58597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EF4"/>
    <w:rsid w:val="000779EB"/>
    <w:rsid w:val="000F3EF4"/>
    <w:rsid w:val="00803A0D"/>
    <w:rsid w:val="00B64820"/>
    <w:rsid w:val="00BA7A75"/>
    <w:rsid w:val="00C1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1F4EC"/>
  <w15:docId w15:val="{53ED2116-BAF7-4AA4-A672-499628A15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7F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1329</Words>
  <Characters>7580</Characters>
  <Application>Microsoft Office Word</Application>
  <DocSecurity>0</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Aniket Saraf</cp:lastModifiedBy>
  <cp:revision>4</cp:revision>
  <dcterms:created xsi:type="dcterms:W3CDTF">2026-07-07T23:52:00Z</dcterms:created>
  <dcterms:modified xsi:type="dcterms:W3CDTF">2026-07-08T12:40:00Z</dcterms:modified>
</cp:coreProperties>
</file>