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EEF2" w14:textId="77777777" w:rsidR="00EF4FBF" w:rsidRDefault="00EF4FBF">
      <w:pPr>
        <w:spacing w:before="1200"/>
      </w:pPr>
    </w:p>
    <w:p w14:paraId="514BA25D" w14:textId="7E96B476" w:rsidR="00EF4FBF" w:rsidRDefault="0023552F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Chiranjeev Gurukul</w:t>
      </w:r>
      <w:r w:rsidR="00000000">
        <w:rPr>
          <w:b/>
          <w:bCs/>
          <w:color w:val="1F3864"/>
          <w:sz w:val="48"/>
          <w:szCs w:val="48"/>
        </w:rPr>
        <w:t xml:space="preserve"> CRM Enhancement</w:t>
      </w:r>
    </w:p>
    <w:p w14:paraId="5DA0AB91" w14:textId="77777777" w:rsidR="00EF4FBF" w:rsidRDefault="00000000">
      <w:pPr>
        <w:spacing w:after="400"/>
        <w:jc w:val="center"/>
      </w:pPr>
      <w:r>
        <w:rPr>
          <w:color w:val="444444"/>
          <w:sz w:val="32"/>
          <w:szCs w:val="32"/>
        </w:rPr>
        <w:t>Process Flow Diagrams (BPMN-style)</w:t>
      </w:r>
    </w:p>
    <w:p w14:paraId="77E2B516" w14:textId="700C1ED5" w:rsidR="00EF4FBF" w:rsidRDefault="00000000">
      <w:pPr>
        <w:jc w:val="center"/>
      </w:pPr>
      <w:r>
        <w:rPr>
          <w:i/>
          <w:iCs/>
          <w:color w:val="666666"/>
          <w:sz w:val="22"/>
          <w:szCs w:val="22"/>
        </w:rPr>
        <w:t xml:space="preserve">Version 1.0 | </w:t>
      </w:r>
      <w:r w:rsidR="0021603D">
        <w:rPr>
          <w:i/>
          <w:iCs/>
          <w:color w:val="666666"/>
          <w:sz w:val="22"/>
          <w:szCs w:val="22"/>
        </w:rPr>
        <w:t>Aug</w:t>
      </w:r>
      <w:r>
        <w:rPr>
          <w:i/>
          <w:iCs/>
          <w:color w:val="666666"/>
          <w:sz w:val="22"/>
          <w:szCs w:val="22"/>
        </w:rPr>
        <w:t xml:space="preserve"> 202</w:t>
      </w:r>
      <w:r w:rsidR="0021603D">
        <w:rPr>
          <w:i/>
          <w:iCs/>
          <w:color w:val="666666"/>
          <w:sz w:val="22"/>
          <w:szCs w:val="22"/>
        </w:rPr>
        <w:t>5</w:t>
      </w:r>
    </w:p>
    <w:p w14:paraId="4F49FDE9" w14:textId="77777777" w:rsidR="00EF4FBF" w:rsidRDefault="00000000">
      <w:r>
        <w:br w:type="page"/>
      </w:r>
    </w:p>
    <w:p w14:paraId="649EA34B" w14:textId="77777777" w:rsidR="00EF4FBF" w:rsidRDefault="00000000">
      <w:pPr>
        <w:pStyle w:val="Heading1"/>
        <w:spacing w:before="320" w:after="150"/>
      </w:pPr>
      <w:bookmarkStart w:id="0" w:name="_Toc234426205"/>
      <w:r>
        <w:lastRenderedPageBreak/>
        <w:t>Table of Contents</w:t>
      </w:r>
      <w:bookmarkEnd w:id="0"/>
    </w:p>
    <w:sdt>
      <w:sdtPr>
        <w:alias w:val="Table of Contents"/>
        <w:id w:val="2004310805"/>
      </w:sdtPr>
      <w:sdtContent>
        <w:p w14:paraId="17C0BC39" w14:textId="7624A8D1" w:rsidR="00BC6773" w:rsidRDefault="00000000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6205" w:history="1">
            <w:r w:rsidR="00BC6773" w:rsidRPr="00727215">
              <w:rPr>
                <w:rStyle w:val="Hyperlink"/>
                <w:noProof/>
              </w:rPr>
              <w:t>Table of Contents</w:t>
            </w:r>
            <w:r w:rsidR="00BC6773">
              <w:rPr>
                <w:noProof/>
              </w:rPr>
              <w:tab/>
            </w:r>
            <w:r w:rsidR="00BC6773">
              <w:rPr>
                <w:noProof/>
              </w:rPr>
              <w:fldChar w:fldCharType="begin"/>
            </w:r>
            <w:r w:rsidR="00BC6773">
              <w:rPr>
                <w:noProof/>
              </w:rPr>
              <w:instrText xml:space="preserve"> PAGEREF _Toc234426205 \h </w:instrText>
            </w:r>
            <w:r w:rsidR="00BC6773">
              <w:rPr>
                <w:noProof/>
              </w:rPr>
            </w:r>
            <w:r w:rsidR="00BC6773">
              <w:rPr>
                <w:noProof/>
              </w:rPr>
              <w:fldChar w:fldCharType="separate"/>
            </w:r>
            <w:r w:rsidR="00BC6773">
              <w:rPr>
                <w:noProof/>
              </w:rPr>
              <w:t>2</w:t>
            </w:r>
            <w:r w:rsidR="00BC6773">
              <w:rPr>
                <w:noProof/>
              </w:rPr>
              <w:fldChar w:fldCharType="end"/>
            </w:r>
          </w:hyperlink>
        </w:p>
        <w:p w14:paraId="58018FCD" w14:textId="38EDF853" w:rsidR="00BC6773" w:rsidRDefault="00BC6773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06" w:history="1">
            <w:r w:rsidRPr="00727215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F6950C" w14:textId="1B3FCBF4" w:rsidR="00BC6773" w:rsidRDefault="00BC6773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07" w:history="1">
            <w:r w:rsidRPr="00727215">
              <w:rPr>
                <w:rStyle w:val="Hyperlink"/>
                <w:noProof/>
              </w:rPr>
              <w:t>1. Lead-to-Opportunity (Sales)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C0C493" w14:textId="41268F00" w:rsidR="00BC6773" w:rsidRDefault="00BC6773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08" w:history="1">
            <w:r w:rsidRPr="00727215">
              <w:rPr>
                <w:rStyle w:val="Hyperlink"/>
                <w:noProof/>
              </w:rPr>
              <w:t>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4225BA" w14:textId="247A41B7" w:rsidR="00BC6773" w:rsidRDefault="00BC6773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09" w:history="1">
            <w:r w:rsidRPr="00727215">
              <w:rPr>
                <w:rStyle w:val="Hyperlink"/>
                <w:noProof/>
              </w:rPr>
              <w:t>2. Quote &amp; Discount Approval (Sales)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AE20BE" w14:textId="537847BE" w:rsidR="00BC6773" w:rsidRDefault="00BC6773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10" w:history="1">
            <w:r w:rsidRPr="00727215">
              <w:rPr>
                <w:rStyle w:val="Hyperlink"/>
                <w:noProof/>
              </w:rPr>
              <w:t>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2B0081" w14:textId="6BA1B420" w:rsidR="00BC6773" w:rsidRDefault="00BC6773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11" w:history="1">
            <w:r w:rsidRPr="00727215">
              <w:rPr>
                <w:rStyle w:val="Hyperlink"/>
                <w:noProof/>
              </w:rPr>
              <w:t>3. Support Ticket Lifecycle &amp; SLA Escalation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BF026B" w14:textId="40473BBD" w:rsidR="00BC6773" w:rsidRDefault="00BC6773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12" w:history="1">
            <w:r w:rsidRPr="00727215">
              <w:rPr>
                <w:rStyle w:val="Hyperlink"/>
                <w:noProof/>
              </w:rPr>
              <w:t>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CCAD7F" w14:textId="26928C46" w:rsidR="00BC6773" w:rsidRDefault="00BC6773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13" w:history="1">
            <w:r w:rsidRPr="00727215">
              <w:rPr>
                <w:rStyle w:val="Hyperlink"/>
                <w:noProof/>
              </w:rPr>
              <w:t>4. Campaign-to-Lead Nurturing (Marketing)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28A6D1" w14:textId="5310C77A" w:rsidR="00BC6773" w:rsidRDefault="00BC6773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214" w:history="1">
            <w:r w:rsidRPr="00727215">
              <w:rPr>
                <w:rStyle w:val="Hyperlink"/>
                <w:noProof/>
              </w:rPr>
              <w:t>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F1E172" w14:textId="1C949D49" w:rsidR="00EF4FBF" w:rsidRDefault="00000000">
          <w:r>
            <w:fldChar w:fldCharType="end"/>
          </w:r>
        </w:p>
      </w:sdtContent>
    </w:sdt>
    <w:p w14:paraId="0062CA01" w14:textId="77777777" w:rsidR="00EF4FBF" w:rsidRDefault="00000000">
      <w:r>
        <w:br w:type="page"/>
      </w:r>
    </w:p>
    <w:p w14:paraId="68EC37F1" w14:textId="77777777" w:rsidR="00EF4FBF" w:rsidRDefault="00000000">
      <w:pPr>
        <w:pStyle w:val="Heading1"/>
        <w:spacing w:before="320" w:after="150"/>
      </w:pPr>
      <w:bookmarkStart w:id="1" w:name="_Toc234426206"/>
      <w:r>
        <w:lastRenderedPageBreak/>
        <w:t>Purpose</w:t>
      </w:r>
      <w:bookmarkEnd w:id="1"/>
    </w:p>
    <w:p w14:paraId="492AFF81" w14:textId="1BBD36E9" w:rsidR="00EF4FBF" w:rsidRDefault="00000000">
      <w:pPr>
        <w:spacing w:after="100"/>
      </w:pPr>
      <w:r>
        <w:t xml:space="preserve">These diagrams visualize the four core end-to-end flows behind the </w:t>
      </w:r>
      <w:r w:rsidR="00BC6773">
        <w:t>Chiranjeev Gurukul’s</w:t>
      </w:r>
      <w:r>
        <w:t xml:space="preserve"> CRM Enhancement, so stakeholders can walk through the process rather than read it as prose. Notation: rounded boxes are activities, diamonds are decision gateways, circles are start/end events (green = start, red = end). Each </w:t>
      </w:r>
      <w:proofErr w:type="spellStart"/>
      <w:r>
        <w:t>swimlane</w:t>
      </w:r>
      <w:proofErr w:type="spellEnd"/>
      <w:r>
        <w:t xml:space="preserve"> represents the actor/system responsible for that step.</w:t>
      </w:r>
    </w:p>
    <w:p w14:paraId="1198CFC2" w14:textId="77777777" w:rsidR="00EF4FBF" w:rsidRDefault="00000000">
      <w:r>
        <w:br w:type="page"/>
      </w:r>
    </w:p>
    <w:p w14:paraId="2E66FB6D" w14:textId="77777777" w:rsidR="00EF4FBF" w:rsidRDefault="00000000">
      <w:pPr>
        <w:pStyle w:val="Heading1"/>
        <w:spacing w:before="320" w:after="150"/>
      </w:pPr>
      <w:bookmarkStart w:id="2" w:name="_Toc234426207"/>
      <w:r>
        <w:lastRenderedPageBreak/>
        <w:t>1. Lead-to-Opportunity (Sales)</w:t>
      </w:r>
      <w:bookmarkEnd w:id="2"/>
    </w:p>
    <w:p w14:paraId="3FC8560C" w14:textId="77777777" w:rsidR="00EF4FBF" w:rsidRDefault="00000000">
      <w:pPr>
        <w:spacing w:after="100"/>
      </w:pPr>
      <w:r>
        <w:t>Covers FR-003, FR-004, FR-005, BR-001 to BR-006, BR-014, from initial lead capture through to an active sales opportunity.</w:t>
      </w:r>
    </w:p>
    <w:p w14:paraId="0399CED9" w14:textId="1A0A5C7E" w:rsidR="00EF4FBF" w:rsidRDefault="00EF4FBF">
      <w:pPr>
        <w:spacing w:before="100" w:after="100"/>
        <w:jc w:val="center"/>
      </w:pPr>
    </w:p>
    <w:p w14:paraId="3EA10F0F" w14:textId="1706DF72" w:rsidR="00EF4FBF" w:rsidRDefault="00000000">
      <w:pPr>
        <w:pStyle w:val="Heading2"/>
        <w:spacing w:before="220" w:after="100"/>
      </w:pPr>
      <w:bookmarkStart w:id="3" w:name="_Toc234426208"/>
      <w:r>
        <w:t>Walkthrough</w:t>
      </w:r>
      <w:bookmarkEnd w:id="3"/>
    </w:p>
    <w:p w14:paraId="43CB7D14" w14:textId="2E64C463" w:rsidR="00EF4FBF" w:rsidRDefault="00000000">
      <w:pPr>
        <w:pStyle w:val="ListParagraph"/>
        <w:numPr>
          <w:ilvl w:val="0"/>
          <w:numId w:val="1"/>
        </w:numPr>
        <w:spacing w:after="60"/>
      </w:pPr>
      <w:r>
        <w:t>A lead enters through a web form, referral, or manual entry and is checked for duplicates against BR-001/BR-002 before anything else happens.</w:t>
      </w:r>
    </w:p>
    <w:p w14:paraId="708A3ECE" w14:textId="7C73A3F4" w:rsidR="00EF4FBF" w:rsidRDefault="00000000">
      <w:pPr>
        <w:pStyle w:val="ListParagraph"/>
        <w:numPr>
          <w:ilvl w:val="0"/>
          <w:numId w:val="1"/>
        </w:numPr>
        <w:spacing w:after="60"/>
      </w:pPr>
      <w:r>
        <w:t>Duplicates are merged into the existing record rather than creating a new one; clean leads are auto-assigned to a Sales Executive per BR-003.</w:t>
      </w:r>
    </w:p>
    <w:p w14:paraId="02985D2D" w14:textId="3FAC395F" w:rsidR="00EF4FBF" w:rsidRDefault="00000000">
      <w:pPr>
        <w:pStyle w:val="ListParagraph"/>
        <w:numPr>
          <w:ilvl w:val="0"/>
          <w:numId w:val="1"/>
        </w:numPr>
        <w:spacing w:after="60"/>
      </w:pPr>
      <w:r>
        <w:t>Unqualified leads are marked Lost or routed into a Marketing nurture sequence (FR-020) instead of being abandoned.</w:t>
      </w:r>
    </w:p>
    <w:p w14:paraId="2A3B3009" w14:textId="7FCD0524" w:rsidR="00EF4FBF" w:rsidRDefault="00000000">
      <w:pPr>
        <w:pStyle w:val="ListParagraph"/>
        <w:numPr>
          <w:ilvl w:val="0"/>
          <w:numId w:val="1"/>
        </w:numPr>
        <w:spacing w:after="60"/>
      </w:pPr>
      <w:r>
        <w:t>Qualified leads convert to a Contact and Opportunity in the same step, then move through pipeline stages to quoting and close.</w:t>
      </w:r>
    </w:p>
    <w:p w14:paraId="3BAE94F3" w14:textId="1A8B1854" w:rsidR="00EF4FBF" w:rsidRDefault="00060DDE">
      <w:r>
        <w:rPr>
          <w:noProof/>
        </w:rPr>
        <w:drawing>
          <wp:anchor distT="0" distB="0" distL="114300" distR="114300" simplePos="0" relativeHeight="251658240" behindDoc="0" locked="0" layoutInCell="1" allowOverlap="1" wp14:anchorId="7544A81A" wp14:editId="32C52FAC">
            <wp:simplePos x="0" y="0"/>
            <wp:positionH relativeFrom="margin">
              <wp:align>center</wp:align>
            </wp:positionH>
            <wp:positionV relativeFrom="paragraph">
              <wp:posOffset>790460</wp:posOffset>
            </wp:positionV>
            <wp:extent cx="8174355" cy="3668395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435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33950A4A" w14:textId="77777777" w:rsidR="00EF4FBF" w:rsidRDefault="00000000">
      <w:pPr>
        <w:pStyle w:val="Heading1"/>
        <w:spacing w:before="320" w:after="150"/>
      </w:pPr>
      <w:bookmarkStart w:id="4" w:name="_Toc234426209"/>
      <w:r>
        <w:lastRenderedPageBreak/>
        <w:t>2. Quote &amp; Discount Approval (Sales)</w:t>
      </w:r>
      <w:bookmarkEnd w:id="4"/>
    </w:p>
    <w:p w14:paraId="77B894D1" w14:textId="4420634B" w:rsidR="00EF4FBF" w:rsidRDefault="00000000">
      <w:pPr>
        <w:spacing w:after="100"/>
      </w:pPr>
      <w:r>
        <w:t>Covers FR-011 and BR-008 — the discount-approval control that prevents unauthorized margin erosion.</w:t>
      </w:r>
    </w:p>
    <w:p w14:paraId="7F321141" w14:textId="298E1C9F" w:rsidR="00EF4FBF" w:rsidRDefault="00060DDE">
      <w:pPr>
        <w:spacing w:before="100" w:after="10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48614D" wp14:editId="7C21ABB5">
            <wp:simplePos x="0" y="0"/>
            <wp:positionH relativeFrom="margin">
              <wp:align>center</wp:align>
            </wp:positionH>
            <wp:positionV relativeFrom="paragraph">
              <wp:posOffset>292215</wp:posOffset>
            </wp:positionV>
            <wp:extent cx="7216775" cy="2971165"/>
            <wp:effectExtent l="0" t="0" r="3175" b="635"/>
            <wp:wrapTopAndBottom/>
            <wp:docPr id="1704889215" name="Picture 1704889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77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CEA37" w14:textId="77777777" w:rsidR="00EF4FBF" w:rsidRDefault="00000000">
      <w:pPr>
        <w:pStyle w:val="Heading2"/>
        <w:spacing w:before="220" w:after="100"/>
      </w:pPr>
      <w:bookmarkStart w:id="5" w:name="_Toc234426210"/>
      <w:r>
        <w:t>Walkthrough</w:t>
      </w:r>
      <w:bookmarkEnd w:id="5"/>
    </w:p>
    <w:p w14:paraId="564226B5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Any discount at or below 15% is auto-approved and the quote goes straight to the customer.</w:t>
      </w:r>
    </w:p>
    <w:p w14:paraId="42D3C8B8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Anything above 15% is routed to the Sales Manager before it can be sent — the system enforces this; it isn't left to individual judgment.</w:t>
      </w:r>
    </w:p>
    <w:p w14:paraId="51C801F3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A rejected quote returns to the Sales Executive for revision rather than being silently blocked with no path forward.</w:t>
      </w:r>
    </w:p>
    <w:p w14:paraId="00FFAF95" w14:textId="77777777" w:rsidR="00EF4FBF" w:rsidRDefault="00000000">
      <w:r>
        <w:br w:type="page"/>
      </w:r>
    </w:p>
    <w:p w14:paraId="6BFF949C" w14:textId="77777777" w:rsidR="00EF4FBF" w:rsidRDefault="00000000">
      <w:pPr>
        <w:pStyle w:val="Heading1"/>
        <w:spacing w:before="320" w:after="150"/>
      </w:pPr>
      <w:bookmarkStart w:id="6" w:name="_Toc234426211"/>
      <w:r>
        <w:lastRenderedPageBreak/>
        <w:t>3. Support Ticket Lifecycle &amp; SLA Escalation</w:t>
      </w:r>
      <w:bookmarkEnd w:id="6"/>
    </w:p>
    <w:p w14:paraId="46F50854" w14:textId="3A1CF3E3" w:rsidR="00EF4FBF" w:rsidRDefault="00000000">
      <w:pPr>
        <w:spacing w:after="100"/>
      </w:pPr>
      <w:r>
        <w:t>Covers FR-022 to FR-025 and BR-010 — from ticket creation through SLA-driven escalation to closure.</w:t>
      </w:r>
    </w:p>
    <w:p w14:paraId="414D53DC" w14:textId="03C5272E" w:rsidR="00EF4FBF" w:rsidRDefault="00CD2720">
      <w:pPr>
        <w:spacing w:before="100" w:after="10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46316DC" wp14:editId="5D898202">
            <wp:simplePos x="0" y="0"/>
            <wp:positionH relativeFrom="margin">
              <wp:align>center</wp:align>
            </wp:positionH>
            <wp:positionV relativeFrom="paragraph">
              <wp:posOffset>236797</wp:posOffset>
            </wp:positionV>
            <wp:extent cx="8223664" cy="3837709"/>
            <wp:effectExtent l="0" t="0" r="6350" b="0"/>
            <wp:wrapTopAndBottom/>
            <wp:docPr id="556713583" name="Picture 55671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664" cy="3837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6F47D" w14:textId="77777777" w:rsidR="00EF4FBF" w:rsidRDefault="00000000">
      <w:pPr>
        <w:pStyle w:val="Heading2"/>
        <w:spacing w:before="220" w:after="100"/>
      </w:pPr>
      <w:bookmarkStart w:id="7" w:name="_Toc234426212"/>
      <w:r>
        <w:t>Walkthrough</w:t>
      </w:r>
      <w:bookmarkEnd w:id="7"/>
    </w:p>
    <w:p w14:paraId="102E49E3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Every ticket is categorized and prioritized at creation, which starts its SLA timer immediately (FR-022).</w:t>
      </w:r>
    </w:p>
    <w:p w14:paraId="5AD54136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Assignment is automatic based on category/priority rules (FR-023), removing the manual triage step.</w:t>
      </w:r>
    </w:p>
    <w:p w14:paraId="423393DA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If a ticket breaches its SLA before resolution, the Support Lead is alerted and pulled in — this is the loop back into active work, not a dead end.</w:t>
      </w:r>
    </w:p>
    <w:p w14:paraId="4FBBE6DD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Closure is blocked until a Resolution Code is selected (BR-010), which is what keeps the Support Ticket Report meaningful.</w:t>
      </w:r>
    </w:p>
    <w:p w14:paraId="76948FDD" w14:textId="77777777" w:rsidR="00EF4FBF" w:rsidRDefault="00000000">
      <w:r>
        <w:br w:type="page"/>
      </w:r>
    </w:p>
    <w:p w14:paraId="3C5FFA7C" w14:textId="77777777" w:rsidR="00EF4FBF" w:rsidRDefault="00000000">
      <w:pPr>
        <w:pStyle w:val="Heading1"/>
        <w:spacing w:before="320" w:after="150"/>
      </w:pPr>
      <w:bookmarkStart w:id="8" w:name="_Toc234426213"/>
      <w:r>
        <w:lastRenderedPageBreak/>
        <w:t>4. Campaign-to-Lead Nurturing (Marketing)</w:t>
      </w:r>
      <w:bookmarkEnd w:id="8"/>
    </w:p>
    <w:p w14:paraId="491941C9" w14:textId="68E7C4E8" w:rsidR="00EF4FBF" w:rsidRDefault="00000000">
      <w:pPr>
        <w:spacing w:after="100"/>
      </w:pPr>
      <w:r>
        <w:t>Covers FR-016, FR-017, FR-019, FR-020, FR-003 — how a Marketing-sourced prospect becomes a Sales-ready lead.</w:t>
      </w:r>
    </w:p>
    <w:p w14:paraId="68FD9495" w14:textId="1E79EC0C" w:rsidR="00EF4FBF" w:rsidRDefault="00670CD3">
      <w:pPr>
        <w:spacing w:before="100" w:after="10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79DA303" wp14:editId="48264B5E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8057809" cy="3008249"/>
            <wp:effectExtent l="0" t="0" r="635" b="1905"/>
            <wp:wrapTopAndBottom/>
            <wp:docPr id="526093621" name="Picture 52609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7809" cy="300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A0CCA" w14:textId="77777777" w:rsidR="00EF4FBF" w:rsidRDefault="00000000">
      <w:pPr>
        <w:pStyle w:val="Heading2"/>
        <w:spacing w:before="220" w:after="100"/>
      </w:pPr>
      <w:bookmarkStart w:id="9" w:name="_Toc234426214"/>
      <w:r>
        <w:t>Walkthrough</w:t>
      </w:r>
      <w:bookmarkEnd w:id="9"/>
    </w:p>
    <w:p w14:paraId="45099A78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A campaign drives traffic to a landing page; only a form submission creates a Lead record (subject to the same BR-001/BR-002 rules as any other lead source).</w:t>
      </w:r>
    </w:p>
    <w:p w14:paraId="1C77B574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New leads enter a nurture sequence rather than going straight to Sales, so Marketing has a chance to warm them up.</w:t>
      </w:r>
    </w:p>
    <w:p w14:paraId="3778DE09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Lead Score is recalculated as the sequence runs; once it crosses the configured threshold, the lead is handed off to Sales (feeds directly into Diagram 1).</w:t>
      </w:r>
    </w:p>
    <w:p w14:paraId="32EAD045" w14:textId="77777777" w:rsidR="00EF4FBF" w:rsidRDefault="00000000">
      <w:pPr>
        <w:pStyle w:val="ListParagraph"/>
        <w:numPr>
          <w:ilvl w:val="0"/>
          <w:numId w:val="1"/>
        </w:numPr>
        <w:spacing w:after="60"/>
      </w:pPr>
      <w:r>
        <w:t>Leads that don't hit the threshold stay in nurture rather than being dropped — this is the loop marketing uses to keep working a slow-moving prospect.</w:t>
      </w:r>
    </w:p>
    <w:sectPr w:rsidR="00EF4FBF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1606E"/>
    <w:multiLevelType w:val="hybridMultilevel"/>
    <w:tmpl w:val="BC98CBE4"/>
    <w:lvl w:ilvl="0" w:tplc="A8F435FA">
      <w:start w:val="1"/>
      <w:numFmt w:val="bullet"/>
      <w:lvlText w:val="●"/>
      <w:lvlJc w:val="left"/>
      <w:pPr>
        <w:ind w:left="720" w:hanging="360"/>
      </w:pPr>
    </w:lvl>
    <w:lvl w:ilvl="1" w:tplc="18C80AF0">
      <w:start w:val="1"/>
      <w:numFmt w:val="bullet"/>
      <w:lvlText w:val="○"/>
      <w:lvlJc w:val="left"/>
      <w:pPr>
        <w:ind w:left="1440" w:hanging="360"/>
      </w:pPr>
    </w:lvl>
    <w:lvl w:ilvl="2" w:tplc="E1980666">
      <w:start w:val="1"/>
      <w:numFmt w:val="bullet"/>
      <w:lvlText w:val="■"/>
      <w:lvlJc w:val="left"/>
      <w:pPr>
        <w:ind w:left="2160" w:hanging="360"/>
      </w:pPr>
    </w:lvl>
    <w:lvl w:ilvl="3" w:tplc="F1C46B62">
      <w:start w:val="1"/>
      <w:numFmt w:val="bullet"/>
      <w:lvlText w:val="●"/>
      <w:lvlJc w:val="left"/>
      <w:pPr>
        <w:ind w:left="2880" w:hanging="360"/>
      </w:pPr>
    </w:lvl>
    <w:lvl w:ilvl="4" w:tplc="00645AB6">
      <w:start w:val="1"/>
      <w:numFmt w:val="bullet"/>
      <w:lvlText w:val="○"/>
      <w:lvlJc w:val="left"/>
      <w:pPr>
        <w:ind w:left="3600" w:hanging="360"/>
      </w:pPr>
    </w:lvl>
    <w:lvl w:ilvl="5" w:tplc="6F9C4C5A">
      <w:start w:val="1"/>
      <w:numFmt w:val="bullet"/>
      <w:lvlText w:val="■"/>
      <w:lvlJc w:val="left"/>
      <w:pPr>
        <w:ind w:left="4320" w:hanging="360"/>
      </w:pPr>
    </w:lvl>
    <w:lvl w:ilvl="6" w:tplc="6B3C386E">
      <w:start w:val="1"/>
      <w:numFmt w:val="bullet"/>
      <w:lvlText w:val="●"/>
      <w:lvlJc w:val="left"/>
      <w:pPr>
        <w:ind w:left="5040" w:hanging="360"/>
      </w:pPr>
    </w:lvl>
    <w:lvl w:ilvl="7" w:tplc="2868AA16">
      <w:start w:val="1"/>
      <w:numFmt w:val="bullet"/>
      <w:lvlText w:val="●"/>
      <w:lvlJc w:val="left"/>
      <w:pPr>
        <w:ind w:left="5760" w:hanging="360"/>
      </w:pPr>
    </w:lvl>
    <w:lvl w:ilvl="8" w:tplc="89BC7718">
      <w:start w:val="1"/>
      <w:numFmt w:val="bullet"/>
      <w:lvlText w:val="●"/>
      <w:lvlJc w:val="left"/>
      <w:pPr>
        <w:ind w:left="6480" w:hanging="360"/>
      </w:pPr>
    </w:lvl>
  </w:abstractNum>
  <w:num w:numId="1" w16cid:durableId="81529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BF"/>
    <w:rsid w:val="00060DDE"/>
    <w:rsid w:val="0021603D"/>
    <w:rsid w:val="0023552F"/>
    <w:rsid w:val="00670CD3"/>
    <w:rsid w:val="00BC6773"/>
    <w:rsid w:val="00CD2720"/>
    <w:rsid w:val="00EF4FBF"/>
    <w:rsid w:val="00F3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CF97"/>
  <w15:docId w15:val="{539A2228-FF1B-49E5-9DD8-17C019B4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55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52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Saraf</cp:lastModifiedBy>
  <cp:revision>7</cp:revision>
  <dcterms:created xsi:type="dcterms:W3CDTF">2026-07-07T23:56:00Z</dcterms:created>
  <dcterms:modified xsi:type="dcterms:W3CDTF">2026-07-08T12:37:00Z</dcterms:modified>
</cp:coreProperties>
</file>