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480"/>
        <w:jc w:val="center"/>
        <w:rPr>
          <w:rFonts w:ascii="Courier New" w:cs="Courier New" w:hAnsi="Courier New"/>
          <w:b/>
          <w:bCs/>
          <w:sz w:val="24"/>
          <w:szCs w:val="24"/>
        </w:rPr>
      </w:pPr>
      <w:r>
        <w:rPr>
          <w:rFonts w:ascii="Courier New" w:cs="Courier New" w:hAnsi="Courier New"/>
          <w:b/>
          <w:bCs/>
          <w:noProof/>
        </w:rPr>
        <w:drawing>
          <wp:anchor distT="0" distB="0" distL="114300" distR="114300" simplePos="false" relativeHeight="4" behindDoc="true" locked="false" layoutInCell="true" allowOverlap="true">
            <wp:simplePos x="0" y="0"/>
            <wp:positionH relativeFrom="margin">
              <wp:posOffset>5162550</wp:posOffset>
            </wp:positionH>
            <wp:positionV relativeFrom="paragraph">
              <wp:posOffset>-30480</wp:posOffset>
            </wp:positionV>
            <wp:extent cx="781050" cy="781050"/>
            <wp:effectExtent l="0" t="0" r="0" b="0"/>
            <wp:wrapTight wrapText="bothSides">
              <wp:wrapPolygon edited="false">
                <wp:start x="6322" y="0"/>
                <wp:lineTo x="3161" y="2107"/>
                <wp:lineTo x="0" y="6849"/>
                <wp:lineTo x="0" y="13171"/>
                <wp:lineTo x="1580" y="18439"/>
                <wp:lineTo x="6849" y="21073"/>
                <wp:lineTo x="8429" y="21073"/>
                <wp:lineTo x="12644" y="21073"/>
                <wp:lineTo x="13698" y="21073"/>
                <wp:lineTo x="19493" y="17912"/>
                <wp:lineTo x="20020" y="17385"/>
                <wp:lineTo x="21073" y="12644"/>
                <wp:lineTo x="21073" y="6849"/>
                <wp:lineTo x="16859" y="1580"/>
                <wp:lineTo x="14224" y="0"/>
                <wp:lineTo x="6322" y="0"/>
              </wp:wrapPolygon>
            </wp:wrapTight>
            <wp:docPr id="1026"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 cstate="print"/>
                    <a:srcRect l="464" t="8981" r="-464" b="16581"/>
                    <a:stretch/>
                  </pic:blipFill>
                  <pic:spPr>
                    <a:xfrm rot="0">
                      <a:off x="0" y="0"/>
                      <a:ext cx="781050" cy="781050"/>
                    </a:xfrm>
                    <a:prstGeom prst="rect"/>
                    <a:ln>
                      <a:noFill/>
                    </a:ln>
                  </pic:spPr>
                </pic:pic>
              </a:graphicData>
            </a:graphic>
            <wp14:sizeRelH relativeFrom="margin">
              <wp14:pctWidth>0</wp14:pctWidth>
            </wp14:sizeRelH>
            <wp14:sizeRelV relativeFrom="margin">
              <wp14:pctHeight>0</wp14:pctHeight>
            </wp14:sizeRelV>
          </wp:anchor>
        </w:drawing>
      </w:r>
      <w:r>
        <w:rPr>
          <w:rFonts w:ascii="Courier New" w:cs="Courier New" w:hAnsi="Courier New"/>
          <w:b/>
          <w:bCs/>
          <w:noProof/>
          <w:sz w:val="24"/>
          <w:szCs w:val="24"/>
        </w:rPr>
        <w:drawing>
          <wp:anchor distT="0" distB="0" distL="114300" distR="114300" simplePos="false" relativeHeight="2" behindDoc="true" locked="false" layoutInCell="true" allowOverlap="true">
            <wp:simplePos x="0" y="0"/>
            <wp:positionH relativeFrom="margin">
              <wp:posOffset>0</wp:posOffset>
            </wp:positionH>
            <wp:positionV relativeFrom="paragraph">
              <wp:posOffset>-49530</wp:posOffset>
            </wp:positionV>
            <wp:extent cx="781050" cy="781050"/>
            <wp:effectExtent l="0" t="0" r="0" b="0"/>
            <wp:wrapTight wrapText="bothSides">
              <wp:wrapPolygon edited="false">
                <wp:start x="6322" y="0"/>
                <wp:lineTo x="2634" y="3161"/>
                <wp:lineTo x="0" y="6322"/>
                <wp:lineTo x="0" y="12644"/>
                <wp:lineTo x="1054" y="17385"/>
                <wp:lineTo x="5795" y="20546"/>
                <wp:lineTo x="6322" y="21073"/>
                <wp:lineTo x="14751" y="21073"/>
                <wp:lineTo x="15278" y="20546"/>
                <wp:lineTo x="20020" y="17385"/>
                <wp:lineTo x="21073" y="12644"/>
                <wp:lineTo x="21073" y="6322"/>
                <wp:lineTo x="18439" y="3161"/>
                <wp:lineTo x="14751" y="0"/>
                <wp:lineTo x="6322" y="0"/>
              </wp:wrapPolygon>
            </wp:wrapTight>
            <wp:docPr id="1027"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7"/>
                    <pic:cNvPicPr/>
                  </pic:nvPicPr>
                  <pic:blipFill>
                    <a:blip r:embed="rId3" cstate="print"/>
                    <a:srcRect l="0" t="0" r="0" b="0"/>
                    <a:stretch/>
                  </pic:blipFill>
                  <pic:spPr>
                    <a:xfrm rot="0">
                      <a:off x="0" y="0"/>
                      <a:ext cx="781050" cy="781050"/>
                    </a:xfrm>
                    <a:prstGeom prst="rect"/>
                  </pic:spPr>
                </pic:pic>
              </a:graphicData>
            </a:graphic>
            <wp14:sizeRelH relativeFrom="margin">
              <wp14:pctWidth>0</wp14:pctWidth>
            </wp14:sizeRelH>
            <wp14:sizeRelV relativeFrom="margin">
              <wp14:pctHeight>0</wp14:pctHeight>
            </wp14:sizeRelV>
          </wp:anchor>
        </w:drawing>
      </w:r>
      <w:r>
        <w:rPr>
          <w:rFonts w:ascii="Courier New" w:cs="Courier New" w:hAnsi="Courier New"/>
          <w:b/>
          <w:bCs/>
          <w:sz w:val="24"/>
          <w:szCs w:val="24"/>
        </w:rPr>
        <w:t>Aliaga National High School</w:t>
      </w:r>
    </w:p>
    <w:p>
      <w:pPr>
        <w:pStyle w:val="style0"/>
        <w:spacing w:after="0" w:lineRule="auto" w:line="480"/>
        <w:jc w:val="center"/>
        <w:rPr>
          <w:rFonts w:ascii="Courier New" w:cs="Courier New" w:hAnsi="Courier New"/>
          <w:sz w:val="24"/>
          <w:szCs w:val="24"/>
        </w:rPr>
      </w:pPr>
      <w:r>
        <w:rPr>
          <w:rFonts w:ascii="Courier New" w:cs="Courier New" w:hAnsi="Courier New"/>
          <w:sz w:val="24"/>
          <w:szCs w:val="24"/>
        </w:rPr>
        <w:t>Población East II, Aliaga Nueva Ecija</w:t>
      </w:r>
    </w:p>
    <w:p>
      <w:pPr>
        <w:pStyle w:val="style31"/>
        <w:spacing w:lineRule="auto" w:line="480"/>
        <w:jc w:val="center"/>
        <w:rPr>
          <w:rFonts w:ascii="Courier New" w:cs="Courier New" w:hAnsi="Courier New"/>
          <w:sz w:val="24"/>
          <w:szCs w:val="24"/>
        </w:rPr>
      </w:pPr>
      <w:r>
        <w:rPr>
          <w:rFonts w:ascii="Courier New" w:cs="Courier New" w:hAnsi="Courier New"/>
          <w:sz w:val="24"/>
          <w:szCs w:val="24"/>
        </w:rPr>
        <w:t>Division of Nueva Ecija</w:t>
      </w:r>
    </w:p>
    <w:p>
      <w:pPr>
        <w:pStyle w:val="style31"/>
        <w:spacing w:lineRule="auto" w:line="480"/>
        <w:jc w:val="center"/>
        <w:rPr>
          <w:rFonts w:ascii="Courier New" w:cs="Courier New" w:hAnsi="Courier New"/>
          <w:sz w:val="24"/>
          <w:szCs w:val="24"/>
        </w:rPr>
      </w:pPr>
    </w:p>
    <w:p>
      <w:pPr>
        <w:pStyle w:val="style0"/>
        <w:spacing w:lineRule="auto" w:line="480"/>
        <w:jc w:val="center"/>
        <w:rPr>
          <w:rFonts w:ascii="Courier New" w:cs="Courier New" w:hAnsi="Courier New"/>
          <w:b/>
          <w:bCs/>
          <w:sz w:val="24"/>
          <w:szCs w:val="24"/>
        </w:rPr>
      </w:pPr>
      <w:r>
        <w:rPr>
          <w:rFonts w:ascii="Courier New" w:cs="Courier New" w:hAnsi="Courier New"/>
          <w:b/>
          <w:bCs/>
          <w:sz w:val="24"/>
          <w:szCs w:val="24"/>
        </w:rPr>
        <w:t>Measures of Position of Grade 10 Students in Playing Online Games</w:t>
      </w:r>
    </w:p>
    <w:p>
      <w:pPr>
        <w:pStyle w:val="style0"/>
        <w:spacing w:lineRule="auto" w:line="480"/>
        <w:jc w:val="center"/>
        <w:rPr>
          <w:rFonts w:ascii="Courier New" w:cs="Courier New" w:hAnsi="Courier New"/>
          <w:b/>
          <w:bCs/>
        </w:rPr>
      </w:pPr>
      <w:r>
        <w:rPr>
          <w:rFonts w:ascii="Times New Roman" w:cs="Times New Roman" w:hAnsi="Times New Roman"/>
          <w:noProof/>
          <w:sz w:val="24"/>
          <w:szCs w:val="24"/>
        </w:rPr>
        <mc:AlternateContent>
          <mc:Choice Requires="wps">
            <w:drawing>
              <wp:anchor distT="0" distB="0" distL="0" distR="0" simplePos="false" relativeHeight="3" behindDoc="false" locked="false" layoutInCell="true" allowOverlap="true">
                <wp:simplePos x="0" y="0"/>
                <wp:positionH relativeFrom="margin">
                  <wp:align>center</wp:align>
                </wp:positionH>
                <wp:positionV relativeFrom="paragraph">
                  <wp:posOffset>143509</wp:posOffset>
                </wp:positionV>
                <wp:extent cx="7229475" cy="0"/>
                <wp:effectExtent l="0" t="19050" r="28575" b="19050"/>
                <wp:wrapNone/>
                <wp:docPr id="1028" name="Straight Connector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7229475" cy="0"/>
                        </a:xfrm>
                        <a:prstGeom prst="line"/>
                        <a:ln cmpd="sng" cap="flat" w="28575">
                          <a:solidFill>
                            <a:srgbClr val="0c0c0c"/>
                          </a:solidFill>
                          <a:prstDash val="solid"/>
                          <a:miter/>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28" filled="f" stroked="t" from="0.0pt,11.299921pt" to="569.25pt,11.299921pt" style="position:absolute;z-index:3;mso-position-horizontal:center;mso-position-horizontal-relative:margin;mso-position-vertical-relative:text;mso-width-percent:0;mso-height-percent:0;mso-width-relative:margin;mso-height-relative:margin;mso-wrap-distance-left:0.0pt;mso-wrap-distance-right:0.0pt;visibility:visible;flip:y;">
                <v:stroke joinstyle="miter" color="#0c0c0c" weight="2.25pt"/>
                <v:fill/>
              </v:line>
            </w:pict>
          </mc:Fallback>
        </mc:AlternateContent>
      </w:r>
    </w:p>
    <w:p>
      <w:pPr>
        <w:pStyle w:val="style31"/>
        <w:spacing w:lineRule="auto" w:line="480"/>
        <w:rPr/>
      </w:pPr>
    </w:p>
    <w:p>
      <w:pPr>
        <w:pStyle w:val="style0"/>
        <w:spacing w:lineRule="auto" w:line="480"/>
        <w:jc w:val="center"/>
        <w:rPr>
          <w:rFonts w:ascii="Courier New" w:cs="Courier New" w:hAnsi="Courier New"/>
          <w:sz w:val="24"/>
          <w:szCs w:val="24"/>
        </w:rPr>
      </w:pPr>
      <w:r>
        <w:rPr>
          <w:rFonts w:ascii="Courier New" w:cs="Courier New" w:hAnsi="Courier New"/>
          <w:sz w:val="24"/>
          <w:szCs w:val="24"/>
        </w:rPr>
        <w:t>A Quantitative Research Project</w:t>
      </w:r>
    </w:p>
    <w:p>
      <w:pPr>
        <w:pStyle w:val="style0"/>
        <w:spacing w:lineRule="auto" w:line="480"/>
        <w:jc w:val="center"/>
        <w:rPr>
          <w:rFonts w:ascii="Courier New" w:cs="Courier New" w:hAnsi="Courier New"/>
          <w:sz w:val="24"/>
          <w:szCs w:val="24"/>
        </w:rPr>
      </w:pPr>
      <w:r>
        <w:rPr>
          <w:rFonts w:ascii="Courier New" w:cs="Courier New" w:hAnsi="Courier New"/>
          <w:sz w:val="24"/>
          <w:szCs w:val="24"/>
        </w:rPr>
        <w:t>Presented to the Faculty of</w:t>
      </w:r>
    </w:p>
    <w:p>
      <w:pPr>
        <w:pStyle w:val="style0"/>
        <w:spacing w:lineRule="auto" w:line="480"/>
        <w:jc w:val="center"/>
        <w:rPr>
          <w:rFonts w:ascii="Courier New" w:cs="Courier New" w:hAnsi="Courier New"/>
          <w:sz w:val="24"/>
          <w:szCs w:val="24"/>
        </w:rPr>
      </w:pPr>
      <w:r>
        <w:rPr>
          <w:rFonts w:ascii="Courier New" w:cs="Courier New" w:hAnsi="Courier New"/>
          <w:sz w:val="24"/>
          <w:szCs w:val="24"/>
        </w:rPr>
        <w:t>Aliaga National High School</w:t>
      </w:r>
    </w:p>
    <w:p>
      <w:pPr>
        <w:pStyle w:val="style0"/>
        <w:spacing w:lineRule="auto" w:line="480"/>
        <w:jc w:val="center"/>
        <w:rPr>
          <w:rFonts w:ascii="Courier New" w:cs="Courier New" w:hAnsi="Courier New"/>
          <w:sz w:val="24"/>
          <w:szCs w:val="24"/>
        </w:rPr>
      </w:pPr>
      <w:r>
        <w:rPr>
          <w:rFonts w:ascii="Courier New" w:cs="Courier New" w:hAnsi="Courier New"/>
          <w:sz w:val="24"/>
          <w:szCs w:val="24"/>
        </w:rPr>
        <w:t>Junior High School</w:t>
      </w:r>
    </w:p>
    <w:p>
      <w:pPr>
        <w:pStyle w:val="style0"/>
        <w:spacing w:lineRule="auto" w:line="480"/>
        <w:jc w:val="center"/>
        <w:rPr>
          <w:rFonts w:ascii="Courier New" w:cs="Courier New" w:hAnsi="Courier New"/>
          <w:sz w:val="24"/>
          <w:szCs w:val="24"/>
        </w:rPr>
      </w:pPr>
      <w:r>
        <w:rPr>
          <w:rFonts w:ascii="Courier New" w:cs="Courier New" w:hAnsi="Courier New"/>
          <w:sz w:val="24"/>
          <w:szCs w:val="24"/>
        </w:rPr>
        <w:t>Pob. East II, Aliaga, Nueva Ecija</w:t>
      </w:r>
    </w:p>
    <w:p>
      <w:pPr>
        <w:pStyle w:val="style0"/>
        <w:spacing w:lineRule="auto" w:line="480"/>
        <w:jc w:val="center"/>
        <w:rPr>
          <w:rFonts w:ascii="Courier New" w:cs="Courier New" w:hAnsi="Courier New"/>
          <w:sz w:val="24"/>
          <w:szCs w:val="24"/>
        </w:rPr>
      </w:pPr>
      <w:r>
        <w:rPr>
          <w:rFonts w:ascii="Courier New" w:cs="Courier New" w:hAnsi="Courier New"/>
          <w:sz w:val="24"/>
          <w:szCs w:val="24"/>
        </w:rPr>
        <w:t>In Partial fulfillment of</w:t>
      </w:r>
    </w:p>
    <w:p>
      <w:pPr>
        <w:pStyle w:val="style0"/>
        <w:spacing w:lineRule="auto" w:line="480"/>
        <w:jc w:val="center"/>
        <w:rPr>
          <w:rFonts w:ascii="Courier New" w:cs="Courier New" w:hAnsi="Courier New"/>
          <w:sz w:val="24"/>
          <w:szCs w:val="24"/>
        </w:rPr>
      </w:pPr>
      <w:r>
        <w:rPr>
          <w:rFonts w:ascii="Courier New" w:cs="Courier New" w:hAnsi="Courier New"/>
          <w:sz w:val="24"/>
          <w:szCs w:val="24"/>
        </w:rPr>
        <w:t xml:space="preserve">The requirements for the subject </w:t>
      </w:r>
      <w:r>
        <w:rPr>
          <w:rFonts w:ascii="Courier New" w:cs="Courier New" w:hAnsi="Courier New"/>
          <w:sz w:val="24"/>
          <w:szCs w:val="24"/>
        </w:rPr>
        <w:br/>
      </w:r>
      <w:r>
        <w:rPr>
          <w:rFonts w:ascii="Courier New" w:cs="Courier New" w:hAnsi="Courier New"/>
          <w:sz w:val="24"/>
          <w:szCs w:val="24"/>
        </w:rPr>
        <w:t>Mathematics 10</w:t>
      </w:r>
    </w:p>
    <w:p>
      <w:pPr>
        <w:pStyle w:val="style0"/>
        <w:spacing w:lineRule="auto" w:line="480"/>
        <w:jc w:val="center"/>
        <w:rPr>
          <w:rFonts w:ascii="Courier New" w:cs="Courier New" w:hAnsi="Courier New"/>
          <w:sz w:val="24"/>
          <w:szCs w:val="24"/>
        </w:rPr>
      </w:pPr>
      <w:r>
        <w:rPr>
          <w:rFonts w:ascii="Courier New" w:cs="Courier New" w:hAnsi="Courier New"/>
          <w:sz w:val="24"/>
          <w:szCs w:val="24"/>
        </w:rPr>
        <w:t>By:</w:t>
      </w:r>
    </w:p>
    <w:p>
      <w:pPr>
        <w:pStyle w:val="style0"/>
        <w:spacing w:lineRule="auto" w:line="480"/>
        <w:jc w:val="center"/>
        <w:rPr>
          <w:rFonts w:ascii="Courier New" w:cs="Courier New" w:hAnsi="Courier New"/>
          <w:b/>
          <w:bCs/>
          <w:sz w:val="24"/>
          <w:szCs w:val="24"/>
        </w:rPr>
      </w:pPr>
      <w:r>
        <w:rPr>
          <w:rFonts w:ascii="Courier New" w:cs="Courier New" w:hAnsi="Courier New"/>
          <w:sz w:val="24"/>
          <w:szCs w:val="24"/>
        </w:rPr>
        <w:t>Proponents:</w:t>
      </w:r>
      <w:r>
        <w:rPr>
          <w:rFonts w:ascii="Courier New" w:cs="Courier New" w:hAnsi="Courier New"/>
          <w:sz w:val="24"/>
          <w:szCs w:val="24"/>
        </w:rPr>
        <w:br/>
      </w:r>
      <w:r>
        <w:rPr>
          <w:rFonts w:ascii="Courier New" w:cs="Courier New" w:hAnsi="Courier New"/>
          <w:b/>
          <w:bCs/>
          <w:sz w:val="24"/>
          <w:szCs w:val="24"/>
        </w:rPr>
        <w:t>Antonio, Mariel N.</w:t>
      </w:r>
    </w:p>
    <w:p>
      <w:pPr>
        <w:pStyle w:val="style0"/>
        <w:spacing w:lineRule="auto" w:line="480"/>
        <w:jc w:val="center"/>
        <w:rPr>
          <w:rFonts w:ascii="Courier New" w:cs="Courier New" w:hAnsi="Courier New"/>
          <w:b/>
          <w:bCs/>
          <w:sz w:val="24"/>
          <w:szCs w:val="24"/>
        </w:rPr>
      </w:pPr>
      <w:r>
        <w:rPr>
          <w:rFonts w:ascii="Courier New" w:cs="Courier New" w:hAnsi="Courier New"/>
          <w:b/>
          <w:bCs/>
          <w:sz w:val="24"/>
          <w:szCs w:val="24"/>
        </w:rPr>
        <w:t>Cerilles, Deshawn Y.</w:t>
      </w:r>
    </w:p>
    <w:p>
      <w:pPr>
        <w:pStyle w:val="style0"/>
        <w:spacing w:lineRule="auto" w:line="480"/>
        <w:jc w:val="center"/>
        <w:rPr>
          <w:rFonts w:ascii="Courier New" w:cs="Courier New" w:hAnsi="Courier New"/>
          <w:b/>
          <w:bCs/>
          <w:sz w:val="24"/>
          <w:szCs w:val="24"/>
        </w:rPr>
      </w:pPr>
      <w:r>
        <w:rPr>
          <w:rFonts w:ascii="Courier New" w:cs="Courier New" w:hAnsi="Courier New"/>
          <w:b/>
          <w:bCs/>
          <w:sz w:val="24"/>
          <w:szCs w:val="24"/>
        </w:rPr>
        <w:t>Lazar, Jamira G.</w:t>
      </w:r>
    </w:p>
    <w:p>
      <w:pPr>
        <w:pStyle w:val="style0"/>
        <w:spacing w:lineRule="auto" w:line="480"/>
        <w:jc w:val="center"/>
        <w:rPr>
          <w:rFonts w:ascii="Courier New" w:cs="Courier New" w:hAnsi="Courier New"/>
          <w:b/>
          <w:bCs/>
          <w:sz w:val="24"/>
          <w:szCs w:val="24"/>
        </w:rPr>
      </w:pPr>
      <w:r>
        <w:rPr>
          <w:rFonts w:ascii="Courier New" w:cs="Courier New" w:hAnsi="Courier New"/>
          <w:b/>
          <w:bCs/>
          <w:sz w:val="24"/>
          <w:szCs w:val="24"/>
        </w:rPr>
        <w:t>Mariano, Kyle Nhowell G.</w:t>
      </w:r>
    </w:p>
    <w:p>
      <w:pPr>
        <w:pStyle w:val="style0"/>
        <w:spacing w:lineRule="auto" w:line="480"/>
        <w:jc w:val="center"/>
        <w:rPr>
          <w:rFonts w:ascii="Courier New" w:cs="Courier New" w:hAnsi="Courier New"/>
          <w:b/>
          <w:bCs/>
          <w:sz w:val="24"/>
          <w:szCs w:val="24"/>
        </w:rPr>
      </w:pPr>
      <w:r>
        <w:rPr>
          <w:rFonts w:ascii="Courier New" w:cs="Courier New" w:hAnsi="Courier New"/>
          <w:b/>
          <w:bCs/>
          <w:sz w:val="24"/>
          <w:szCs w:val="24"/>
        </w:rPr>
        <w:t>Sinchioco, Jomari T.</w:t>
      </w:r>
    </w:p>
    <w:p>
      <w:pPr>
        <w:pStyle w:val="style0"/>
        <w:spacing w:lineRule="auto" w:line="480"/>
        <w:jc w:val="center"/>
        <w:rPr>
          <w:rFonts w:ascii="Courier New" w:cs="Courier New" w:hAnsi="Courier New"/>
          <w:b/>
          <w:bCs/>
          <w:sz w:val="24"/>
          <w:szCs w:val="24"/>
        </w:rPr>
      </w:pPr>
    </w:p>
    <w:p>
      <w:pPr>
        <w:pStyle w:val="style0"/>
        <w:spacing w:lineRule="auto" w:line="480"/>
        <w:jc w:val="center"/>
        <w:rPr>
          <w:rFonts w:ascii="Courier New" w:cs="Courier New" w:hAnsi="Courier New"/>
          <w:b/>
          <w:bCs/>
          <w:sz w:val="24"/>
          <w:szCs w:val="24"/>
        </w:rPr>
      </w:pPr>
    </w:p>
    <w:p>
      <w:pPr>
        <w:pStyle w:val="style0"/>
        <w:spacing w:lineRule="auto" w:line="480"/>
        <w:jc w:val="center"/>
        <w:rPr>
          <w:rFonts w:ascii="Courier New" w:cs="Courier New" w:hAnsi="Courier New"/>
          <w:b/>
          <w:bCs/>
          <w:sz w:val="24"/>
          <w:szCs w:val="24"/>
        </w:rPr>
      </w:pPr>
    </w:p>
    <w:p>
      <w:pPr>
        <w:pStyle w:val="style0"/>
        <w:spacing w:lineRule="auto" w:line="480"/>
        <w:jc w:val="center"/>
        <w:rPr>
          <w:rFonts w:ascii="Courier New" w:cs="Courier New" w:hAnsi="Courier New"/>
          <w:b/>
          <w:bCs/>
          <w:sz w:val="24"/>
          <w:szCs w:val="24"/>
        </w:rPr>
      </w:pPr>
    </w:p>
    <w:p>
      <w:pPr>
        <w:pStyle w:val="style0"/>
        <w:jc w:val="center"/>
        <w:rPr>
          <w:rFonts w:ascii="Courier New" w:cs="Courier New" w:hAnsi="Courier New"/>
          <w:b/>
          <w:bCs/>
          <w:sz w:val="24"/>
          <w:szCs w:val="24"/>
        </w:rPr>
      </w:pPr>
      <w:r>
        <w:rPr>
          <w:rFonts w:ascii="Courier New" w:cs="Courier New" w:hAnsi="Courier New"/>
          <w:b/>
          <w:bCs/>
          <w:sz w:val="24"/>
          <w:szCs w:val="24"/>
        </w:rPr>
        <w:br w:type="page"/>
      </w:r>
      <w:r>
        <w:rPr>
          <w:rFonts w:ascii="Courier New" w:cs="Courier New" w:hAnsi="Courier New"/>
          <w:b/>
          <w:bCs/>
          <w:sz w:val="24"/>
          <w:szCs w:val="24"/>
        </w:rPr>
        <w:br w:type="page"/>
      </w:r>
    </w:p>
    <w:p>
      <w:pPr>
        <w:pStyle w:val="style0"/>
        <w:spacing w:lineRule="auto" w:line="480"/>
        <w:jc w:val="center"/>
        <w:rPr>
          <w:rFonts w:ascii="Courier New" w:cs="Courier New" w:hAnsi="Courier New"/>
          <w:b/>
          <w:bCs/>
          <w:sz w:val="24"/>
          <w:szCs w:val="24"/>
        </w:rPr>
      </w:pPr>
      <w:r>
        <w:rPr>
          <w:rFonts w:ascii="Courier New" w:cs="Courier New" w:hAnsi="Courier New"/>
          <w:b/>
          <w:bCs/>
          <w:sz w:val="24"/>
          <w:szCs w:val="24"/>
        </w:rPr>
        <w:t>Chapter 2</w:t>
      </w:r>
    </w:p>
    <w:p>
      <w:pPr>
        <w:pStyle w:val="style0"/>
        <w:spacing w:lineRule="auto" w:line="480"/>
        <w:jc w:val="center"/>
        <w:rPr>
          <w:rFonts w:ascii="Courier New" w:cs="Courier New" w:hAnsi="Courier New"/>
          <w:b/>
          <w:bCs/>
          <w:sz w:val="24"/>
          <w:szCs w:val="24"/>
        </w:rPr>
      </w:pPr>
      <w:r>
        <w:rPr>
          <w:rFonts w:ascii="Courier New" w:cs="Courier New" w:hAnsi="Courier New"/>
          <w:b/>
          <w:bCs/>
          <w:sz w:val="24"/>
          <w:szCs w:val="24"/>
        </w:rPr>
        <w:t>Introduction</w:t>
      </w:r>
    </w:p>
    <w:p>
      <w:pPr>
        <w:pStyle w:val="style0"/>
        <w:spacing w:lineRule="auto" w:line="480"/>
        <w:ind w:firstLine="720"/>
        <w:jc w:val="both"/>
        <w:rPr>
          <w:rFonts w:ascii="Courier New" w:cs="Courier New" w:hAnsi="Courier New"/>
          <w:sz w:val="24"/>
          <w:szCs w:val="24"/>
        </w:rPr>
      </w:pPr>
      <w:r>
        <w:rPr>
          <w:rFonts w:ascii="Courier New" w:cs="Courier New" w:hAnsi="Courier New"/>
          <w:sz w:val="24"/>
          <w:szCs w:val="24"/>
        </w:rPr>
        <w:t xml:space="preserve">Online games have become a big part of the daily lives of many students today. Many Grade 10 students spend a lot of their free time playing different online games, which can affect their study habits, social life, and overall routine. Because of this, we wanted to study how students’ gaming habits compare to one another. In this research, we will focus on the measures of position of Grade 10 students in playing online games. Measures of position, like percentile ranks, quartiles, and deciles, help us see how one student’s gaming behavior relates to others in the group. </w:t>
      </w:r>
    </w:p>
    <w:p>
      <w:pPr>
        <w:pStyle w:val="style0"/>
        <w:spacing w:lineRule="auto" w:line="480"/>
        <w:ind w:firstLine="720"/>
        <w:jc w:val="both"/>
        <w:rPr>
          <w:rFonts w:ascii="Courier New" w:cs="Courier New" w:hAnsi="Courier New"/>
          <w:sz w:val="24"/>
          <w:szCs w:val="24"/>
        </w:rPr>
      </w:pPr>
      <w:r>
        <w:rPr>
          <w:rFonts w:ascii="Courier New" w:cs="Courier New" w:hAnsi="Courier New"/>
          <w:sz w:val="24"/>
          <w:szCs w:val="24"/>
        </w:rPr>
        <w:t>This allows us to know which students play more often, which play less, and how their gaming habits are distributed across the class. The goal of this study is to understand the gaming patterns of Grade 10 students. By finding out their position in the group, we hope to provide useful information for teachers and fellow students about online gaming habits and their possible effects on school life and daily activities.</w:t>
      </w:r>
    </w:p>
    <w:p>
      <w:pPr>
        <w:pStyle w:val="style0"/>
        <w:spacing w:lineRule="auto" w:line="480"/>
        <w:ind w:firstLine="720"/>
        <w:jc w:val="center"/>
        <w:rPr>
          <w:rFonts w:ascii="Courier New" w:cs="Courier New" w:hAnsi="Courier New"/>
          <w:sz w:val="24"/>
          <w:szCs w:val="24"/>
        </w:rPr>
      </w:pPr>
    </w:p>
    <w:p>
      <w:pPr>
        <w:pStyle w:val="style0"/>
        <w:spacing w:lineRule="auto" w:line="480"/>
        <w:rPr>
          <w:rFonts w:ascii="Courier New" w:cs="Courier New" w:hAnsi="Courier New"/>
          <w:b/>
          <w:bCs/>
          <w:sz w:val="24"/>
          <w:szCs w:val="24"/>
        </w:rPr>
      </w:pPr>
      <w:r>
        <w:rPr>
          <w:rFonts w:ascii="Courier New" w:cs="Courier New" w:hAnsi="Courier New"/>
          <w:b/>
          <w:bCs/>
          <w:sz w:val="24"/>
          <w:szCs w:val="24"/>
        </w:rPr>
        <w:t>General Objectives</w:t>
      </w:r>
    </w:p>
    <w:p>
      <w:pPr>
        <w:pStyle w:val="style0"/>
        <w:spacing w:lineRule="auto" w:line="480"/>
        <w:ind w:firstLine="720"/>
        <w:jc w:val="both"/>
        <w:rPr>
          <w:rFonts w:ascii="Courier New" w:cs="Courier New" w:hAnsi="Courier New"/>
          <w:sz w:val="24"/>
          <w:szCs w:val="24"/>
        </w:rPr>
      </w:pPr>
      <w:r>
        <w:rPr>
          <w:rFonts w:ascii="Courier New" w:cs="Courier New" w:hAnsi="Courier New"/>
          <w:sz w:val="24"/>
          <w:szCs w:val="24"/>
        </w:rPr>
        <w:t>This study generally aims to determine the measures of position of Grade 10 students of Aliaga National High School in terms of their online gaming habits. Specifically, this research seeks to describe and analyze how students’ gaming time is distributed using statistical tools such as quartiles, deciles, and percentile ranks.</w:t>
      </w:r>
    </w:p>
    <w:p>
      <w:pPr>
        <w:pStyle w:val="style0"/>
        <w:spacing w:lineRule="auto" w:line="480"/>
        <w:ind w:firstLine="720"/>
        <w:jc w:val="both"/>
        <w:rPr>
          <w:rFonts w:ascii="Courier New" w:cs="Courier New" w:hAnsi="Courier New"/>
          <w:sz w:val="24"/>
          <w:szCs w:val="24"/>
        </w:rPr>
      </w:pPr>
      <w:r>
        <w:rPr>
          <w:rFonts w:ascii="Courier New" w:cs="Courier New" w:hAnsi="Courier New"/>
          <w:sz w:val="24"/>
          <w:szCs w:val="24"/>
        </w:rPr>
        <w:t>The specific objectives of this study are:</w:t>
      </w:r>
    </w:p>
    <w:p>
      <w:pPr>
        <w:pStyle w:val="style0"/>
        <w:spacing w:lineRule="auto" w:line="480"/>
        <w:ind w:left="720" w:firstLine="720"/>
        <w:jc w:val="both"/>
        <w:rPr>
          <w:rFonts w:ascii="Courier New" w:cs="Courier New" w:hAnsi="Courier New"/>
          <w:sz w:val="24"/>
          <w:szCs w:val="24"/>
        </w:rPr>
      </w:pPr>
      <w:r>
        <w:rPr>
          <w:rFonts w:ascii="Courier New" w:cs="Courier New" w:hAnsi="Courier New"/>
          <w:sz w:val="24"/>
          <w:szCs w:val="24"/>
        </w:rPr>
        <w:t>1. To determine the distribution of time spent by Grade 10 students in playing online games;</w:t>
      </w:r>
    </w:p>
    <w:p>
      <w:pPr>
        <w:pStyle w:val="style0"/>
        <w:spacing w:lineRule="auto" w:line="480"/>
        <w:ind w:left="720" w:firstLine="720"/>
        <w:jc w:val="both"/>
        <w:rPr>
          <w:rFonts w:ascii="Courier New" w:cs="Courier New" w:hAnsi="Courier New"/>
          <w:sz w:val="24"/>
          <w:szCs w:val="24"/>
        </w:rPr>
      </w:pPr>
      <w:r>
        <w:rPr>
          <w:rFonts w:ascii="Courier New" w:cs="Courier New" w:hAnsi="Courier New"/>
          <w:sz w:val="24"/>
          <w:szCs w:val="24"/>
        </w:rPr>
        <w:t>2. To compute the quartiles, deciles, and percentile ranks of Grade 10 students based on their gaming time; and</w:t>
      </w:r>
    </w:p>
    <w:p>
      <w:pPr>
        <w:pStyle w:val="style0"/>
        <w:spacing w:lineRule="auto" w:line="480"/>
        <w:ind w:left="720" w:firstLine="720"/>
        <w:jc w:val="both"/>
        <w:rPr>
          <w:rFonts w:ascii="Courier New" w:cs="Courier New" w:hAnsi="Courier New"/>
          <w:sz w:val="24"/>
          <w:szCs w:val="24"/>
        </w:rPr>
      </w:pPr>
      <w:r>
        <w:rPr>
          <w:rFonts w:ascii="Courier New" w:cs="Courier New" w:hAnsi="Courier New"/>
          <w:sz w:val="24"/>
          <w:szCs w:val="24"/>
        </w:rPr>
        <w:t>3. To classify students into lower, middle, and higher positions in terms of gaming frequency in order to inform teachers and students about online gaming habits and their potential effects on school performance and daily life.</w:t>
      </w:r>
    </w:p>
    <w:p>
      <w:pPr>
        <w:pStyle w:val="style0"/>
        <w:spacing w:lineRule="auto" w:line="480"/>
        <w:ind w:firstLine="720"/>
        <w:jc w:val="center"/>
        <w:rPr>
          <w:rFonts w:ascii="Courier New" w:cs="Courier New" w:hAnsi="Courier New"/>
          <w:sz w:val="24"/>
          <w:szCs w:val="24"/>
        </w:rPr>
      </w:pPr>
    </w:p>
    <w:p>
      <w:pPr>
        <w:pStyle w:val="style0"/>
        <w:spacing w:lineRule="auto" w:line="480"/>
        <w:rPr>
          <w:rFonts w:ascii="Courier New" w:cs="Courier New" w:hAnsi="Courier New"/>
          <w:b/>
          <w:bCs/>
          <w:sz w:val="24"/>
          <w:szCs w:val="24"/>
        </w:rPr>
      </w:pPr>
      <w:r>
        <w:rPr>
          <w:rFonts w:ascii="Courier New" w:cs="Courier New" w:hAnsi="Courier New"/>
          <w:b/>
          <w:bCs/>
          <w:sz w:val="24"/>
          <w:szCs w:val="24"/>
        </w:rPr>
        <w:t>Statement of the Problem</w:t>
      </w:r>
    </w:p>
    <w:p>
      <w:pPr>
        <w:pStyle w:val="style0"/>
        <w:spacing w:lineRule="auto" w:line="480"/>
        <w:ind w:firstLine="720"/>
        <w:jc w:val="both"/>
        <w:rPr>
          <w:rFonts w:ascii="Courier New" w:cs="Courier New" w:hAnsi="Courier New"/>
          <w:sz w:val="24"/>
          <w:szCs w:val="24"/>
        </w:rPr>
      </w:pPr>
      <w:r>
        <w:rPr>
          <w:rFonts w:ascii="Courier New" w:cs="Courier New" w:hAnsi="Courier New"/>
          <w:sz w:val="24"/>
          <w:szCs w:val="24"/>
        </w:rPr>
        <w:t>Online games have become a common activity among Grade 10 students, taking up a significant portion of their free time. While gaming can be a source of entertainment and relaxation, excessive playing may influence students’ study habits, social interactions, and daily routines. Because of these possible effects, it is important to understand how students’ gaming habits compare with one another.</w:t>
      </w:r>
    </w:p>
    <w:p>
      <w:pPr>
        <w:pStyle w:val="style0"/>
        <w:spacing w:lineRule="auto" w:line="480"/>
        <w:ind w:firstLine="720"/>
        <w:jc w:val="both"/>
        <w:rPr>
          <w:rFonts w:ascii="Courier New" w:cs="Courier New" w:hAnsi="Courier New"/>
          <w:sz w:val="24"/>
          <w:szCs w:val="24"/>
        </w:rPr>
      </w:pPr>
      <w:r>
        <w:rPr>
          <w:rFonts w:ascii="Courier New" w:cs="Courier New" w:hAnsi="Courier New"/>
          <w:sz w:val="24"/>
          <w:szCs w:val="24"/>
        </w:rPr>
        <w:t>This study aims to determine the measures of position of Grade 10 students in terms of the amount of time they spend playing online games. Specifically, it seeks to answer the following questions:</w:t>
      </w:r>
    </w:p>
    <w:p>
      <w:pPr>
        <w:pStyle w:val="style0"/>
        <w:numPr>
          <w:ilvl w:val="0"/>
          <w:numId w:val="1"/>
        </w:numPr>
        <w:spacing w:lineRule="auto" w:line="480"/>
        <w:jc w:val="both"/>
        <w:rPr>
          <w:rFonts w:ascii="Courier New" w:cs="Courier New" w:hAnsi="Courier New"/>
          <w:sz w:val="24"/>
          <w:szCs w:val="24"/>
        </w:rPr>
      </w:pPr>
      <w:r>
        <w:rPr>
          <w:rFonts w:ascii="Courier New" w:cs="Courier New" w:hAnsi="Courier New"/>
          <w:sz w:val="24"/>
          <w:szCs w:val="24"/>
        </w:rPr>
        <w:t>What is the distribution of time spent by Grade 10 students in playing online games?</w:t>
      </w:r>
    </w:p>
    <w:p>
      <w:pPr>
        <w:pStyle w:val="style0"/>
        <w:numPr>
          <w:ilvl w:val="0"/>
          <w:numId w:val="1"/>
        </w:numPr>
        <w:spacing w:lineRule="auto" w:line="480"/>
        <w:jc w:val="both"/>
        <w:rPr>
          <w:rFonts w:ascii="Courier New" w:cs="Courier New" w:hAnsi="Courier New"/>
          <w:sz w:val="24"/>
          <w:szCs w:val="24"/>
        </w:rPr>
      </w:pPr>
      <w:r>
        <w:rPr>
          <w:rFonts w:ascii="Courier New" w:cs="Courier New" w:hAnsi="Courier New"/>
          <w:sz w:val="24"/>
          <w:szCs w:val="24"/>
        </w:rPr>
        <w:t>What are the quartiles, deciles, and percentile ranks of students based on their gaming time?</w:t>
      </w:r>
    </w:p>
    <w:p>
      <w:pPr>
        <w:pStyle w:val="style0"/>
        <w:numPr>
          <w:ilvl w:val="0"/>
          <w:numId w:val="1"/>
        </w:numPr>
        <w:spacing w:lineRule="auto" w:line="480"/>
        <w:jc w:val="both"/>
        <w:rPr>
          <w:rFonts w:ascii="Courier New" w:cs="Courier New" w:hAnsi="Courier New"/>
          <w:sz w:val="24"/>
          <w:szCs w:val="24"/>
        </w:rPr>
      </w:pPr>
      <w:r>
        <w:rPr>
          <w:rFonts w:ascii="Courier New" w:cs="Courier New" w:hAnsi="Courier New"/>
          <w:sz w:val="24"/>
          <w:szCs w:val="24"/>
        </w:rPr>
        <w:t>Which students belong to the lower, middle, and higher positions in terms of gaming frequency?</w:t>
      </w:r>
    </w:p>
    <w:p>
      <w:pPr>
        <w:pStyle w:val="style0"/>
        <w:spacing w:before="100" w:beforeAutospacing="true" w:after="100" w:afterAutospacing="true" w:lineRule="auto" w:line="480"/>
        <w:ind w:left="360"/>
        <w:rPr>
          <w:rFonts w:ascii="Courier New" w:cs="Courier New" w:eastAsia="Times New Roman" w:hAnsi="Courier New"/>
          <w:b/>
          <w:bCs/>
          <w:sz w:val="27"/>
          <w:szCs w:val="27"/>
          <w:lang w:bidi="ar-SA" w:eastAsia="en-PH"/>
        </w:rPr>
      </w:pPr>
      <w:r>
        <w:rPr>
          <w:rFonts w:ascii="Courier New" w:cs="Courier New" w:eastAsia="Times New Roman" w:hAnsi="Courier New"/>
          <w:b/>
          <w:bCs/>
          <w:sz w:val="27"/>
          <w:szCs w:val="27"/>
          <w:lang w:bidi="ar-SA" w:eastAsia="en-PH"/>
        </w:rPr>
        <w:t>Definition of  Terms</w:t>
      </w:r>
    </w:p>
    <w:p>
      <w:pPr>
        <w:pStyle w:val="style0"/>
        <w:spacing w:before="100" w:beforeAutospacing="true" w:after="100" w:afterAutospacing="true" w:lineRule="auto" w:line="480"/>
        <w:ind w:left="360"/>
        <w:rPr>
          <w:rFonts w:ascii="Courier New" w:cs="Courier New" w:eastAsia="Times New Roman" w:hAnsi="Courier New"/>
          <w:sz w:val="24"/>
          <w:szCs w:val="24"/>
          <w:lang w:bidi="ar-SA" w:eastAsia="en-PH"/>
        </w:rPr>
      </w:pPr>
      <w:r>
        <w:rPr>
          <w:rFonts w:ascii="Courier New" w:cs="Courier New" w:eastAsia="Times New Roman" w:hAnsi="Courier New"/>
          <w:b/>
          <w:bCs/>
          <w:sz w:val="24"/>
          <w:szCs w:val="24"/>
          <w:lang w:bidi="ar-SA" w:eastAsia="en-PH"/>
        </w:rPr>
        <w:t>Online Games</w:t>
      </w:r>
      <w:r>
        <w:rPr>
          <w:rFonts w:ascii="Courier New" w:cs="Courier New" w:eastAsia="Times New Roman" w:hAnsi="Courier New"/>
          <w:sz w:val="24"/>
          <w:szCs w:val="24"/>
          <w:lang w:bidi="ar-SA" w:eastAsia="en-PH"/>
        </w:rPr>
        <w:t xml:space="preserve"> – Digital games played over the internet using devices such as smartphones, computers, or gaming consoles.</w:t>
      </w:r>
    </w:p>
    <w:p>
      <w:pPr>
        <w:pStyle w:val="style0"/>
        <w:spacing w:before="100" w:beforeAutospacing="true" w:after="100" w:afterAutospacing="true" w:lineRule="auto" w:line="480"/>
        <w:ind w:left="360"/>
        <w:rPr>
          <w:rFonts w:ascii="Courier New" w:cs="Courier New" w:eastAsia="Times New Roman" w:hAnsi="Courier New"/>
          <w:sz w:val="24"/>
          <w:szCs w:val="24"/>
          <w:lang w:bidi="ar-SA" w:eastAsia="en-PH"/>
        </w:rPr>
      </w:pPr>
      <w:r>
        <w:rPr>
          <w:rFonts w:ascii="Courier New" w:cs="Courier New" w:eastAsia="Times New Roman" w:hAnsi="Courier New"/>
          <w:b/>
          <w:bCs/>
          <w:sz w:val="24"/>
          <w:szCs w:val="24"/>
          <w:lang w:bidi="ar-SA" w:eastAsia="en-PH"/>
        </w:rPr>
        <w:t>Grade 10 Students</w:t>
      </w:r>
      <w:r>
        <w:rPr>
          <w:rFonts w:ascii="Courier New" w:cs="Courier New" w:eastAsia="Times New Roman" w:hAnsi="Courier New"/>
          <w:sz w:val="24"/>
          <w:szCs w:val="24"/>
          <w:lang w:bidi="ar-SA" w:eastAsia="en-PH"/>
        </w:rPr>
        <w:t xml:space="preserve"> – Learners who are currently enrolled in the tenth grade level and are the participants of this study.</w:t>
      </w:r>
    </w:p>
    <w:p>
      <w:pPr>
        <w:pStyle w:val="style0"/>
        <w:spacing w:before="100" w:beforeAutospacing="true" w:after="100" w:afterAutospacing="true" w:lineRule="auto" w:line="480"/>
        <w:ind w:left="360"/>
        <w:rPr>
          <w:rFonts w:ascii="Courier New" w:cs="Courier New" w:eastAsia="Times New Roman" w:hAnsi="Courier New"/>
          <w:sz w:val="24"/>
          <w:szCs w:val="24"/>
          <w:lang w:bidi="ar-SA" w:eastAsia="en-PH"/>
        </w:rPr>
      </w:pPr>
      <w:r>
        <w:rPr>
          <w:rFonts w:ascii="Courier New" w:cs="Courier New" w:eastAsia="Times New Roman" w:hAnsi="Courier New"/>
          <w:b/>
          <w:bCs/>
          <w:sz w:val="24"/>
          <w:szCs w:val="24"/>
          <w:lang w:bidi="ar-SA" w:eastAsia="en-PH"/>
        </w:rPr>
        <w:t>Gaming Habits</w:t>
      </w:r>
      <w:r>
        <w:rPr>
          <w:rFonts w:ascii="Courier New" w:cs="Courier New" w:eastAsia="Times New Roman" w:hAnsi="Courier New"/>
          <w:sz w:val="24"/>
          <w:szCs w:val="24"/>
          <w:lang w:bidi="ar-SA" w:eastAsia="en-PH"/>
        </w:rPr>
        <w:t xml:space="preserve"> – The patterns or behaviors of students in playing online games, including how often and how long they play.</w:t>
      </w:r>
    </w:p>
    <w:p>
      <w:pPr>
        <w:pStyle w:val="style0"/>
        <w:spacing w:before="100" w:beforeAutospacing="true" w:after="100" w:afterAutospacing="true" w:lineRule="auto" w:line="480"/>
        <w:ind w:left="360"/>
        <w:rPr>
          <w:rFonts w:ascii="Courier New" w:cs="Courier New" w:eastAsia="Times New Roman" w:hAnsi="Courier New"/>
          <w:sz w:val="24"/>
          <w:szCs w:val="24"/>
          <w:lang w:bidi="ar-SA" w:eastAsia="en-PH"/>
        </w:rPr>
      </w:pPr>
      <w:r>
        <w:rPr>
          <w:rFonts w:ascii="Courier New" w:cs="Courier New" w:eastAsia="Times New Roman" w:hAnsi="Courier New"/>
          <w:b/>
          <w:bCs/>
          <w:sz w:val="24"/>
          <w:szCs w:val="24"/>
          <w:lang w:bidi="ar-SA" w:eastAsia="en-PH"/>
        </w:rPr>
        <w:t>Time Spent Playing Online Games</w:t>
      </w:r>
      <w:r>
        <w:rPr>
          <w:rFonts w:ascii="Courier New" w:cs="Courier New" w:eastAsia="Times New Roman" w:hAnsi="Courier New"/>
          <w:sz w:val="24"/>
          <w:szCs w:val="24"/>
          <w:lang w:bidi="ar-SA" w:eastAsia="en-PH"/>
        </w:rPr>
        <w:t xml:space="preserve"> – The number of hours or minutes students use to play online games within a specific period (e.g., per day or per week).</w:t>
      </w:r>
    </w:p>
    <w:p>
      <w:pPr>
        <w:pStyle w:val="style0"/>
        <w:spacing w:before="100" w:beforeAutospacing="true" w:after="100" w:afterAutospacing="true" w:lineRule="auto" w:line="480"/>
        <w:ind w:left="360"/>
        <w:rPr>
          <w:rFonts w:ascii="Courier New" w:cs="Courier New" w:eastAsia="Times New Roman" w:hAnsi="Courier New"/>
          <w:sz w:val="24"/>
          <w:szCs w:val="24"/>
          <w:lang w:bidi="ar-SA" w:eastAsia="en-PH"/>
        </w:rPr>
      </w:pPr>
      <w:r>
        <w:rPr>
          <w:rFonts w:ascii="Courier New" w:cs="Courier New" w:eastAsia="Times New Roman" w:hAnsi="Courier New"/>
          <w:b/>
          <w:bCs/>
          <w:sz w:val="24"/>
          <w:szCs w:val="24"/>
          <w:lang w:bidi="ar-SA" w:eastAsia="en-PH"/>
        </w:rPr>
        <w:t>Measures of Position</w:t>
      </w:r>
      <w:r>
        <w:rPr>
          <w:rFonts w:ascii="Courier New" w:cs="Courier New" w:eastAsia="Times New Roman" w:hAnsi="Courier New"/>
          <w:sz w:val="24"/>
          <w:szCs w:val="24"/>
          <w:lang w:bidi="ar-SA" w:eastAsia="en-PH"/>
        </w:rPr>
        <w:t xml:space="preserve"> – Statistical tools used to determine the relative standing of a value within a data set. In this study, these include quartiles, deciles, and percentiles.</w:t>
      </w:r>
    </w:p>
    <w:p>
      <w:pPr>
        <w:pStyle w:val="style0"/>
        <w:spacing w:before="100" w:beforeAutospacing="true" w:after="100" w:afterAutospacing="true" w:lineRule="auto" w:line="480"/>
        <w:ind w:left="360"/>
        <w:rPr>
          <w:rFonts w:ascii="Courier New" w:cs="Courier New" w:eastAsia="Times New Roman" w:hAnsi="Courier New"/>
          <w:sz w:val="24"/>
          <w:szCs w:val="24"/>
          <w:lang w:bidi="ar-SA" w:eastAsia="en-PH"/>
        </w:rPr>
      </w:pPr>
      <w:r>
        <w:rPr>
          <w:rFonts w:ascii="Courier New" w:cs="Courier New" w:eastAsia="Times New Roman" w:hAnsi="Courier New"/>
          <w:b/>
          <w:bCs/>
          <w:sz w:val="24"/>
          <w:szCs w:val="24"/>
          <w:lang w:bidi="ar-SA" w:eastAsia="en-PH"/>
        </w:rPr>
        <w:t>Quartiles</w:t>
      </w:r>
      <w:r>
        <w:rPr>
          <w:rFonts w:ascii="Courier New" w:cs="Courier New" w:eastAsia="Times New Roman" w:hAnsi="Courier New"/>
          <w:sz w:val="24"/>
          <w:szCs w:val="24"/>
          <w:lang w:bidi="ar-SA" w:eastAsia="en-PH"/>
        </w:rPr>
        <w:t xml:space="preserve"> – Values that divide a set of data into four equal parts.</w:t>
      </w:r>
    </w:p>
    <w:p>
      <w:pPr>
        <w:pStyle w:val="style0"/>
        <w:spacing w:before="100" w:beforeAutospacing="true" w:after="100" w:afterAutospacing="true" w:lineRule="auto" w:line="480"/>
        <w:ind w:left="360"/>
        <w:rPr>
          <w:rFonts w:ascii="Courier New" w:cs="Courier New" w:eastAsia="Times New Roman" w:hAnsi="Courier New"/>
          <w:sz w:val="24"/>
          <w:szCs w:val="24"/>
          <w:lang w:bidi="ar-SA" w:eastAsia="en-PH"/>
        </w:rPr>
      </w:pPr>
      <w:r>
        <w:rPr>
          <w:rFonts w:ascii="Courier New" w:cs="Courier New" w:eastAsia="Times New Roman" w:hAnsi="Courier New"/>
          <w:b/>
          <w:bCs/>
          <w:sz w:val="24"/>
          <w:szCs w:val="24"/>
          <w:lang w:bidi="ar-SA" w:eastAsia="en-PH"/>
        </w:rPr>
        <w:t>Deciles</w:t>
      </w:r>
      <w:r>
        <w:rPr>
          <w:rFonts w:ascii="Courier New" w:cs="Courier New" w:eastAsia="Times New Roman" w:hAnsi="Courier New"/>
          <w:sz w:val="24"/>
          <w:szCs w:val="24"/>
          <w:lang w:bidi="ar-SA" w:eastAsia="en-PH"/>
        </w:rPr>
        <w:t xml:space="preserve"> – Values that divide a set of data into ten equal parts.</w:t>
      </w:r>
    </w:p>
    <w:p>
      <w:pPr>
        <w:pStyle w:val="style0"/>
        <w:spacing w:before="100" w:beforeAutospacing="true" w:after="100" w:afterAutospacing="true" w:lineRule="auto" w:line="480"/>
        <w:ind w:left="360"/>
        <w:rPr>
          <w:rFonts w:ascii="Courier New" w:cs="Courier New" w:eastAsia="Times New Roman" w:hAnsi="Courier New"/>
          <w:sz w:val="24"/>
          <w:szCs w:val="24"/>
          <w:lang w:bidi="ar-SA" w:eastAsia="en-PH"/>
        </w:rPr>
      </w:pPr>
      <w:r>
        <w:rPr>
          <w:rFonts w:ascii="Courier New" w:cs="Courier New" w:eastAsia="Times New Roman" w:hAnsi="Courier New"/>
          <w:b/>
          <w:bCs/>
          <w:sz w:val="24"/>
          <w:szCs w:val="24"/>
          <w:lang w:bidi="ar-SA" w:eastAsia="en-PH"/>
        </w:rPr>
        <w:t>Percentile Rank</w:t>
      </w:r>
      <w:r>
        <w:rPr>
          <w:rFonts w:ascii="Courier New" w:cs="Courier New" w:eastAsia="Times New Roman" w:hAnsi="Courier New"/>
          <w:sz w:val="24"/>
          <w:szCs w:val="24"/>
          <w:lang w:bidi="ar-SA" w:eastAsia="en-PH"/>
        </w:rPr>
        <w:t xml:space="preserve"> – The percentage of scores in a data set that fall below a particular score.</w:t>
      </w:r>
    </w:p>
    <w:p>
      <w:pPr>
        <w:pStyle w:val="style0"/>
        <w:spacing w:before="100" w:beforeAutospacing="true" w:after="100" w:afterAutospacing="true" w:lineRule="auto" w:line="480"/>
        <w:ind w:left="360"/>
        <w:rPr>
          <w:rFonts w:ascii="Courier New" w:cs="Courier New" w:eastAsia="Times New Roman" w:hAnsi="Courier New"/>
          <w:sz w:val="24"/>
          <w:szCs w:val="24"/>
          <w:lang w:bidi="ar-SA" w:eastAsia="en-PH"/>
        </w:rPr>
      </w:pPr>
      <w:r>
        <w:rPr>
          <w:rFonts w:ascii="Courier New" w:cs="Courier New" w:eastAsia="Times New Roman" w:hAnsi="Courier New"/>
          <w:b/>
          <w:bCs/>
          <w:sz w:val="24"/>
          <w:szCs w:val="24"/>
          <w:lang w:bidi="ar-SA" w:eastAsia="en-PH"/>
        </w:rPr>
        <w:t>Distribution</w:t>
      </w:r>
      <w:r>
        <w:rPr>
          <w:rFonts w:ascii="Courier New" w:cs="Courier New" w:eastAsia="Times New Roman" w:hAnsi="Courier New"/>
          <w:sz w:val="24"/>
          <w:szCs w:val="24"/>
          <w:lang w:bidi="ar-SA" w:eastAsia="en-PH"/>
        </w:rPr>
        <w:t xml:space="preserve"> – The way data values are spread out or arranged in a data set.</w:t>
      </w:r>
    </w:p>
    <w:p>
      <w:pPr>
        <w:pStyle w:val="style0"/>
        <w:spacing w:before="100" w:beforeAutospacing="true" w:after="100" w:afterAutospacing="true" w:lineRule="auto" w:line="480"/>
        <w:ind w:left="360"/>
        <w:rPr>
          <w:rFonts w:ascii="Courier New" w:cs="Courier New" w:eastAsia="Times New Roman" w:hAnsi="Courier New"/>
          <w:sz w:val="24"/>
          <w:szCs w:val="24"/>
          <w:lang w:bidi="ar-SA" w:eastAsia="en-PH"/>
        </w:rPr>
      </w:pPr>
      <w:r>
        <w:rPr>
          <w:rFonts w:ascii="Courier New" w:cs="Courier New" w:eastAsia="Times New Roman" w:hAnsi="Courier New"/>
          <w:b/>
          <w:bCs/>
          <w:sz w:val="24"/>
          <w:szCs w:val="24"/>
          <w:lang w:bidi="ar-SA" w:eastAsia="en-PH"/>
        </w:rPr>
        <w:t>Gaming Frequency</w:t>
      </w:r>
      <w:r>
        <w:rPr>
          <w:rFonts w:ascii="Courier New" w:cs="Courier New" w:eastAsia="Times New Roman" w:hAnsi="Courier New"/>
          <w:sz w:val="24"/>
          <w:szCs w:val="24"/>
          <w:lang w:bidi="ar-SA" w:eastAsia="en-PH"/>
        </w:rPr>
        <w:t xml:space="preserve"> – How often a student plays online games within a given period.</w:t>
      </w:r>
    </w:p>
    <w:p>
      <w:pPr>
        <w:pStyle w:val="style0"/>
        <w:spacing w:before="100" w:beforeAutospacing="true" w:after="100" w:afterAutospacing="true" w:lineRule="auto" w:line="480"/>
        <w:ind w:left="360"/>
        <w:rPr>
          <w:rFonts w:ascii="Courier New" w:cs="Courier New" w:eastAsia="Times New Roman" w:hAnsi="Courier New"/>
          <w:sz w:val="24"/>
          <w:szCs w:val="24"/>
          <w:lang w:bidi="ar-SA" w:eastAsia="en-PH"/>
        </w:rPr>
      </w:pPr>
      <w:r>
        <w:rPr>
          <w:rFonts w:ascii="Courier New" w:cs="Courier New" w:eastAsia="Times New Roman" w:hAnsi="Courier New"/>
          <w:b/>
          <w:bCs/>
          <w:sz w:val="24"/>
          <w:szCs w:val="24"/>
          <w:lang w:bidi="ar-SA" w:eastAsia="en-PH"/>
        </w:rPr>
        <w:t>Lower Position</w:t>
      </w:r>
      <w:r>
        <w:rPr>
          <w:rFonts w:ascii="Courier New" w:cs="Courier New" w:eastAsia="Times New Roman" w:hAnsi="Courier New"/>
          <w:sz w:val="24"/>
          <w:szCs w:val="24"/>
          <w:lang w:bidi="ar-SA" w:eastAsia="en-PH"/>
        </w:rPr>
        <w:t xml:space="preserve"> – Students who spend less time playing online games compared to most of the group.</w:t>
      </w:r>
    </w:p>
    <w:p>
      <w:pPr>
        <w:pStyle w:val="style0"/>
        <w:spacing w:before="100" w:beforeAutospacing="true" w:after="100" w:afterAutospacing="true" w:lineRule="auto" w:line="480"/>
        <w:ind w:left="360"/>
        <w:rPr>
          <w:rFonts w:ascii="Courier New" w:cs="Courier New" w:eastAsia="Times New Roman" w:hAnsi="Courier New"/>
          <w:sz w:val="24"/>
          <w:szCs w:val="24"/>
          <w:lang w:bidi="ar-SA" w:eastAsia="en-PH"/>
        </w:rPr>
      </w:pPr>
      <w:r>
        <w:rPr>
          <w:rFonts w:ascii="Courier New" w:cs="Courier New" w:eastAsia="Times New Roman" w:hAnsi="Courier New"/>
          <w:b/>
          <w:bCs/>
          <w:sz w:val="24"/>
          <w:szCs w:val="24"/>
          <w:lang w:bidi="ar-SA" w:eastAsia="en-PH"/>
        </w:rPr>
        <w:t>Middle Position</w:t>
      </w:r>
      <w:r>
        <w:rPr>
          <w:rFonts w:ascii="Courier New" w:cs="Courier New" w:eastAsia="Times New Roman" w:hAnsi="Courier New"/>
          <w:sz w:val="24"/>
          <w:szCs w:val="24"/>
          <w:lang w:bidi="ar-SA" w:eastAsia="en-PH"/>
        </w:rPr>
        <w:t xml:space="preserve"> – Students whose gaming time falls around the center of the data set.</w:t>
      </w:r>
    </w:p>
    <w:p>
      <w:pPr>
        <w:pStyle w:val="style0"/>
        <w:spacing w:before="100" w:beforeAutospacing="true" w:after="100" w:afterAutospacing="true" w:lineRule="auto" w:line="480"/>
        <w:ind w:left="360"/>
        <w:rPr>
          <w:rFonts w:ascii="Courier New" w:cs="Courier New" w:eastAsia="Times New Roman" w:hAnsi="Courier New"/>
          <w:sz w:val="24"/>
          <w:szCs w:val="24"/>
          <w:lang w:bidi="ar-SA" w:eastAsia="en-PH"/>
        </w:rPr>
      </w:pPr>
      <w:r>
        <w:rPr>
          <w:rFonts w:ascii="Courier New" w:cs="Courier New" w:eastAsia="Times New Roman" w:hAnsi="Courier New"/>
          <w:b/>
          <w:bCs/>
          <w:sz w:val="24"/>
          <w:szCs w:val="24"/>
          <w:lang w:bidi="ar-SA" w:eastAsia="en-PH"/>
        </w:rPr>
        <w:t>Higher Position</w:t>
      </w:r>
      <w:r>
        <w:rPr>
          <w:rFonts w:ascii="Courier New" w:cs="Courier New" w:eastAsia="Times New Roman" w:hAnsi="Courier New"/>
          <w:sz w:val="24"/>
          <w:szCs w:val="24"/>
          <w:lang w:bidi="ar-SA" w:eastAsia="en-PH"/>
        </w:rPr>
        <w:t xml:space="preserve"> – Students who spend more time playing online games compared to most of the group.</w:t>
      </w:r>
    </w:p>
    <w:p>
      <w:pPr>
        <w:pStyle w:val="style0"/>
        <w:spacing w:before="100" w:beforeAutospacing="true" w:after="100" w:afterAutospacing="true" w:lineRule="auto" w:line="480"/>
        <w:ind w:left="360"/>
        <w:rPr>
          <w:rFonts w:ascii="Times New Roman" w:cs="Times New Roman" w:eastAsia="Times New Roman" w:hAnsi="Times New Roman"/>
          <w:sz w:val="24"/>
          <w:szCs w:val="24"/>
          <w:lang w:bidi="ar-SA" w:eastAsia="en-PH"/>
        </w:rPr>
      </w:pPr>
    </w:p>
    <w:p>
      <w:pPr>
        <w:pStyle w:val="style0"/>
        <w:spacing w:before="100" w:beforeAutospacing="true" w:after="100" w:afterAutospacing="true" w:lineRule="auto" w:line="480"/>
        <w:ind w:left="360"/>
        <w:jc w:val="center"/>
        <w:rPr>
          <w:rFonts w:ascii="Times New Roman" w:cs="Times New Roman" w:eastAsia="Times New Roman" w:hAnsi="Times New Roman"/>
          <w:b/>
          <w:bCs/>
          <w:sz w:val="24"/>
          <w:szCs w:val="24"/>
          <w:lang w:bidi="ar-SA" w:eastAsia="en-PH"/>
        </w:rPr>
      </w:pPr>
      <w:r>
        <w:rPr>
          <w:rFonts w:ascii="Times New Roman" w:cs="Times New Roman" w:eastAsia="Times New Roman" w:hAnsi="Times New Roman"/>
          <w:b/>
          <w:bCs/>
          <w:sz w:val="24"/>
          <w:szCs w:val="24"/>
          <w:lang w:bidi="ar-SA" w:eastAsia="en-PH"/>
        </w:rPr>
        <w:t>Chapter 2</w:t>
      </w:r>
    </w:p>
    <w:p>
      <w:pPr>
        <w:pStyle w:val="style0"/>
        <w:spacing w:before="100" w:beforeAutospacing="true" w:after="100" w:afterAutospacing="true" w:lineRule="auto" w:line="480"/>
        <w:ind w:left="360"/>
        <w:jc w:val="center"/>
        <w:rPr>
          <w:rFonts w:ascii="Times New Roman" w:cs="Times New Roman" w:eastAsia="Times New Roman" w:hAnsi="Times New Roman"/>
          <w:b/>
          <w:bCs/>
          <w:sz w:val="24"/>
          <w:szCs w:val="24"/>
          <w:lang w:bidi="ar-SA" w:eastAsia="en-PH"/>
        </w:rPr>
      </w:pPr>
      <w:r>
        <w:rPr>
          <w:rFonts w:ascii="Times New Roman" w:cs="Times New Roman" w:eastAsia="Times New Roman" w:hAnsi="Times New Roman"/>
          <w:b/>
          <w:bCs/>
          <w:sz w:val="24"/>
          <w:szCs w:val="24"/>
          <w:lang w:bidi="ar-SA" w:eastAsia="en-PH"/>
        </w:rPr>
        <w:t>Review of Related Literature</w:t>
      </w:r>
    </w:p>
    <w:p>
      <w:pPr>
        <w:pStyle w:val="style0"/>
        <w:spacing w:before="100" w:beforeAutospacing="true" w:after="100" w:afterAutospacing="true" w:lineRule="auto" w:line="480"/>
        <w:ind w:left="360" w:firstLine="720"/>
        <w:jc w:val="both"/>
        <w:rPr>
          <w:rFonts w:ascii="Times New Roman" w:cs="Times New Roman" w:eastAsia="Times New Roman" w:hAnsi="Times New Roman"/>
          <w:sz w:val="24"/>
          <w:szCs w:val="24"/>
          <w:lang w:bidi="ar-SA" w:eastAsia="en-PH"/>
        </w:rPr>
      </w:pPr>
      <w:r>
        <w:rPr>
          <w:rFonts w:ascii="Times New Roman" w:cs="Times New Roman" w:eastAsia="Times New Roman" w:hAnsi="Times New Roman"/>
          <w:sz w:val="24"/>
          <w:szCs w:val="24"/>
          <w:lang w:bidi="ar-SA" w:eastAsia="en-PH"/>
        </w:rPr>
        <w:t>The growing prevalence of online gaming among adolescents has been the subject of numerous studies worldwide. Research indicates that online gaming has become one of the most popular leisure activities among students, with many spending several hours per day engaged in various digital games. According to Gentile et al. (2017), students who spend excessive time playing online games tend to experience disruptions in their academic routines, including reduced study hours and lower academic achievement. Understanding how gaming time is distributed among students is therefore an important area of inquiry for educators and researchers alike.</w:t>
      </w:r>
    </w:p>
    <w:p>
      <w:pPr>
        <w:pStyle w:val="style0"/>
        <w:spacing w:before="100" w:beforeAutospacing="true" w:after="100" w:afterAutospacing="true" w:lineRule="auto" w:line="480"/>
        <w:ind w:left="360" w:firstLine="720"/>
        <w:jc w:val="both"/>
        <w:rPr>
          <w:rFonts w:ascii="Times New Roman" w:cs="Times New Roman" w:eastAsia="Times New Roman" w:hAnsi="Times New Roman"/>
          <w:sz w:val="24"/>
          <w:szCs w:val="24"/>
          <w:lang w:bidi="ar-SA" w:eastAsia="en-PH"/>
        </w:rPr>
      </w:pPr>
      <w:r>
        <w:rPr>
          <w:rFonts w:ascii="Times New Roman" w:cs="Times New Roman" w:eastAsia="Times New Roman" w:hAnsi="Times New Roman"/>
          <w:sz w:val="24"/>
          <w:szCs w:val="24"/>
          <w:lang w:bidi="ar-SA" w:eastAsia="en-PH"/>
        </w:rPr>
        <w:t>In the Philippine context, studies have shown that Filipino students are among the most active online gamers in Southeast Asia. The widespread availability of affordable smartphones and internet access has contributed to the rapid increase in gaming activity among young learners. Lim and Santos (2019) found that a significant number of Filipino high school students play online games for more than three hours daily, with some reporting that gaming directly competes with their study time. These findings highlight the need to examine gaming habits not just in terms of averages, but also in terms of how individual students compare to their peers using measures of position.</w:t>
      </w:r>
    </w:p>
    <w:p>
      <w:pPr>
        <w:pStyle w:val="style0"/>
        <w:spacing w:before="100" w:beforeAutospacing="true" w:after="100" w:afterAutospacing="true" w:lineRule="auto" w:line="480"/>
        <w:ind w:left="360" w:firstLine="720"/>
        <w:jc w:val="both"/>
        <w:rPr>
          <w:rFonts w:ascii="Times New Roman" w:cs="Times New Roman" w:eastAsia="Times New Roman" w:hAnsi="Times New Roman"/>
          <w:sz w:val="24"/>
          <w:szCs w:val="24"/>
          <w:lang w:bidi="ar-SA" w:eastAsia="en-PH"/>
        </w:rPr>
      </w:pPr>
      <w:r>
        <w:rPr>
          <w:rFonts w:ascii="Times New Roman" w:cs="Times New Roman" w:eastAsia="Times New Roman" w:hAnsi="Times New Roman"/>
          <w:sz w:val="24"/>
          <w:szCs w:val="24"/>
          <w:lang w:bidi="ar-SA" w:eastAsia="en-PH"/>
        </w:rPr>
        <w:t>Measures of position, including quartiles, deciles, and percentile ranks, are fundamental statistical tools used to interpret and compare data within a distribution. In educational research, these measures are commonly applied to assess student performance and behavior relative to a group. Bluman (2018) explains that measures of position allow researchers to identify where a particular value stands within a data set, making it possible to distinguish students who fall in the lower, middle, or upper portions of a distribution. Applying these tools to gaming data provides a more nuanced understanding of individual differences in gaming behavior among students.</w:t>
      </w:r>
    </w:p>
    <w:p>
      <w:pPr>
        <w:pStyle w:val="style0"/>
        <w:spacing w:before="100" w:beforeAutospacing="true" w:after="100" w:afterAutospacing="true" w:lineRule="auto" w:line="480"/>
        <w:ind w:left="360" w:firstLine="720"/>
        <w:jc w:val="both"/>
        <w:rPr>
          <w:rFonts w:ascii="Times New Roman" w:cs="Times New Roman" w:eastAsia="Times New Roman" w:hAnsi="Times New Roman"/>
          <w:sz w:val="24"/>
          <w:szCs w:val="24"/>
          <w:lang w:bidi="ar-SA" w:eastAsia="en-PH"/>
        </w:rPr>
      </w:pPr>
      <w:r>
        <w:rPr>
          <w:rFonts w:ascii="Times New Roman" w:cs="Times New Roman" w:eastAsia="Times New Roman" w:hAnsi="Times New Roman"/>
          <w:sz w:val="24"/>
          <w:szCs w:val="24"/>
          <w:lang w:bidi="ar-SA" w:eastAsia="en-PH"/>
        </w:rPr>
        <w:t>Several studies have also explored the social and psychological dimensions of online gaming among adolescents. Anderson and Bushman (2018) noted that while moderate gaming can foster social connections and cognitive skills such as problem-solving and strategic thinking, excessive gaming is associated with social withdrawal, sleep disruption, and declining academic motivation. These mixed effects underscore the importance of identifying where students fall in the distribution of gaming time, as those in the upper percentiles may be at greater risk for the negative outcomes associated with excessive play.</w:t>
      </w:r>
    </w:p>
    <w:p>
      <w:pPr>
        <w:pStyle w:val="style0"/>
        <w:spacing w:before="100" w:beforeAutospacing="true" w:after="100" w:afterAutospacing="true" w:lineRule="auto" w:line="480"/>
        <w:ind w:left="360" w:firstLine="720"/>
        <w:jc w:val="both"/>
        <w:rPr>
          <w:rFonts w:ascii="Times New Roman" w:cs="Times New Roman" w:eastAsia="Times New Roman" w:hAnsi="Times New Roman"/>
          <w:sz w:val="24"/>
          <w:szCs w:val="24"/>
          <w:lang w:bidi="ar-SA" w:eastAsia="en-PH"/>
        </w:rPr>
      </w:pPr>
      <w:r>
        <w:rPr>
          <w:rFonts w:ascii="Times New Roman" w:cs="Times New Roman" w:eastAsia="Times New Roman" w:hAnsi="Times New Roman"/>
          <w:sz w:val="24"/>
          <w:szCs w:val="24"/>
          <w:lang w:bidi="ar-SA" w:eastAsia="en-PH"/>
        </w:rPr>
        <w:t>Quantitative research approaches have been widely used to study gaming behavior among student populations. Surveys and questionnaires are the most common instruments for gathering data on the frequency and duration of gaming sessions (Kuss &amp; Griffiths, 2012). By collecting this data and applying descriptive statistical measures, researchers can produce clear and objective comparisons among students. This study adopts a similar quantitative approach, using measures of position to organize and interpret the gaming data gathered from Grade 10 students of Aliaga National High School.</w:t>
      </w:r>
    </w:p>
    <w:p>
      <w:pPr>
        <w:pStyle w:val="style0"/>
        <w:spacing w:before="100" w:beforeAutospacing="true" w:after="100" w:afterAutospacing="true" w:lineRule="auto" w:line="480"/>
        <w:ind w:left="360"/>
        <w:rPr>
          <w:rFonts w:ascii="Times New Roman" w:cs="Times New Roman" w:eastAsia="Times New Roman" w:hAnsi="Times New Roman"/>
          <w:sz w:val="24"/>
          <w:szCs w:val="24"/>
          <w:lang w:bidi="ar-SA" w:eastAsia="en-PH"/>
        </w:rPr>
      </w:pPr>
    </w:p>
    <w:p>
      <w:pPr>
        <w:pStyle w:val="style0"/>
        <w:spacing w:before="100" w:beforeAutospacing="true" w:after="100" w:afterAutospacing="true" w:lineRule="auto" w:line="480"/>
        <w:ind w:left="360"/>
        <w:jc w:val="center"/>
        <w:rPr>
          <w:rFonts w:ascii="Times New Roman" w:cs="Times New Roman" w:eastAsia="Times New Roman" w:hAnsi="Times New Roman"/>
          <w:b/>
          <w:bCs/>
          <w:sz w:val="24"/>
          <w:szCs w:val="24"/>
          <w:lang w:bidi="ar-SA" w:eastAsia="en-PH"/>
        </w:rPr>
      </w:pPr>
      <w:r>
        <w:rPr>
          <w:rFonts w:ascii="Times New Roman" w:cs="Times New Roman" w:eastAsia="Times New Roman" w:hAnsi="Times New Roman"/>
          <w:b/>
          <w:bCs/>
          <w:sz w:val="24"/>
          <w:szCs w:val="24"/>
          <w:lang w:bidi="ar-SA" w:eastAsia="en-PH"/>
        </w:rPr>
        <w:t>Chapter 3</w:t>
      </w:r>
    </w:p>
    <w:p>
      <w:pPr>
        <w:pStyle w:val="style0"/>
        <w:spacing w:before="100" w:beforeAutospacing="true" w:after="100" w:afterAutospacing="true" w:lineRule="auto" w:line="480"/>
        <w:ind w:left="360"/>
        <w:rPr>
          <w:rFonts w:ascii="Times New Roman" w:cs="Times New Roman" w:eastAsia="Times New Roman" w:hAnsi="Times New Roman"/>
          <w:b/>
          <w:bCs/>
          <w:sz w:val="24"/>
          <w:szCs w:val="24"/>
          <w:lang w:bidi="ar-SA" w:eastAsia="en-PH"/>
        </w:rPr>
      </w:pPr>
      <w:r>
        <w:rPr>
          <w:rFonts w:ascii="Times New Roman" w:cs="Times New Roman" w:eastAsia="Times New Roman" w:hAnsi="Times New Roman"/>
          <w:b/>
          <w:bCs/>
          <w:sz w:val="24"/>
          <w:szCs w:val="24"/>
          <w:lang w:bidi="ar-SA" w:eastAsia="en-PH"/>
        </w:rPr>
        <w:t xml:space="preserve">Background of the Study </w:t>
      </w:r>
    </w:p>
    <w:p>
      <w:pPr>
        <w:pStyle w:val="style0"/>
        <w:spacing w:before="100" w:beforeAutospacing="true" w:after="100" w:afterAutospacing="true" w:lineRule="auto" w:line="480"/>
        <w:ind w:left="360"/>
        <w:jc w:val="both"/>
        <w:rPr>
          <w:rFonts w:ascii="Courier New" w:cs="Courier New" w:eastAsia="Times New Roman" w:hAnsi="Courier New"/>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r>
        <w:rPr>
          <w:rFonts w:ascii="Courier New" w:cs="Courier New" w:eastAsia="Times New Roman" w:hAnsi="Courier New"/>
          <w:b/>
          <w:bCs/>
          <w:sz w:val="24"/>
          <w:szCs w:val="24"/>
          <w:lang w:bidi="ar-SA" w:eastAsia="en-PH"/>
        </w:rPr>
        <w:t>Presentation and Analysis</w:t>
      </w: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center"/>
        <w:rPr>
          <w:rFonts w:ascii="Courier New" w:cs="Courier New" w:eastAsia="Times New Roman" w:hAnsi="Courier New"/>
          <w:b/>
          <w:bCs/>
          <w:sz w:val="24"/>
          <w:szCs w:val="24"/>
          <w:lang w:bidi="ar-SA" w:eastAsia="en-PH"/>
        </w:rPr>
      </w:pPr>
      <w:r>
        <w:rPr>
          <w:rFonts w:ascii="Courier New" w:cs="Courier New" w:eastAsia="Times New Roman" w:hAnsi="Courier New"/>
          <w:b/>
          <w:bCs/>
          <w:sz w:val="24"/>
          <w:szCs w:val="24"/>
          <w:lang w:bidi="ar-SA" w:eastAsia="en-PH"/>
        </w:rPr>
        <w:t>Chapter 4</w:t>
      </w:r>
    </w:p>
    <w:p>
      <w:pPr>
        <w:pStyle w:val="style0"/>
        <w:spacing w:before="100" w:beforeAutospacing="true" w:after="100" w:afterAutospacing="true" w:lineRule="auto" w:line="480"/>
        <w:ind w:left="360"/>
        <w:rPr>
          <w:rFonts w:ascii="Courier New" w:cs="Courier New" w:eastAsia="Times New Roman" w:hAnsi="Courier New"/>
          <w:b/>
          <w:bCs/>
          <w:sz w:val="24"/>
          <w:szCs w:val="24"/>
          <w:lang w:bidi="ar-SA" w:eastAsia="en-PH"/>
        </w:rPr>
      </w:pPr>
      <w:r>
        <w:rPr>
          <w:rFonts w:ascii="Courier New" w:cs="Courier New" w:eastAsia="Times New Roman" w:hAnsi="Courier New"/>
          <w:b/>
          <w:bCs/>
          <w:sz w:val="24"/>
          <w:szCs w:val="24"/>
          <w:lang w:bidi="ar-SA" w:eastAsia="en-PH"/>
        </w:rPr>
        <w:t>Conclusions</w:t>
      </w:r>
    </w:p>
    <w:p>
      <w:pPr>
        <w:pStyle w:val="style0"/>
        <w:spacing w:before="100" w:beforeAutospacing="true" w:after="100" w:afterAutospacing="true" w:lineRule="auto" w:line="480"/>
        <w:ind w:left="360" w:firstLine="360"/>
        <w:rPr>
          <w:rFonts w:ascii="Courier New" w:cs="Courier New" w:eastAsia="Times New Roman" w:hAnsi="Courier New"/>
          <w:sz w:val="24"/>
          <w:szCs w:val="24"/>
          <w:lang w:bidi="ar-SA" w:eastAsia="en-PH"/>
        </w:rPr>
      </w:pPr>
    </w:p>
    <w:p>
      <w:pPr>
        <w:pStyle w:val="style0"/>
        <w:spacing w:before="100" w:beforeAutospacing="true" w:after="100" w:afterAutospacing="true" w:lineRule="auto" w:line="480"/>
        <w:ind w:left="360"/>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center"/>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jc w:val="both"/>
        <w:rPr>
          <w:rFonts w:ascii="Courier New" w:cs="Courier New" w:eastAsia="Times New Roman" w:hAnsi="Courier New"/>
          <w:b/>
          <w:bCs/>
          <w:sz w:val="24"/>
          <w:szCs w:val="24"/>
          <w:lang w:bidi="ar-SA" w:eastAsia="en-PH"/>
        </w:rPr>
      </w:pPr>
    </w:p>
    <w:p>
      <w:pPr>
        <w:pStyle w:val="style0"/>
        <w:spacing w:before="100" w:beforeAutospacing="true" w:after="100" w:afterAutospacing="true" w:lineRule="auto" w:line="480"/>
        <w:ind w:left="360"/>
        <w:rPr>
          <w:rFonts w:ascii="Courier New" w:cs="Courier New" w:eastAsia="Times New Roman" w:hAnsi="Courier New"/>
          <w:sz w:val="24"/>
          <w:szCs w:val="24"/>
          <w:lang w:bidi="ar-SA" w:eastAsia="en-PH"/>
        </w:rPr>
      </w:pPr>
    </w:p>
    <w:p>
      <w:pPr>
        <w:pStyle w:val="style0"/>
        <w:spacing w:lineRule="auto" w:line="480"/>
        <w:ind w:left="360"/>
        <w:jc w:val="both"/>
        <w:rPr>
          <w:rFonts w:ascii="Courier New" w:cs="Courier New" w:hAnsi="Courier New"/>
          <w:sz w:val="24"/>
          <w:szCs w:val="24"/>
        </w:rPr>
      </w:pPr>
    </w:p>
    <w:p>
      <w:pPr>
        <w:pStyle w:val="style0"/>
        <w:spacing w:lineRule="auto" w:line="480"/>
        <w:ind w:left="360"/>
        <w:jc w:val="both"/>
        <w:rPr>
          <w:rFonts w:ascii="Courier New" w:cs="Courier New" w:hAnsi="Courier New"/>
          <w:sz w:val="24"/>
          <w:szCs w:val="24"/>
        </w:rPr>
      </w:pPr>
    </w:p>
    <w:sectPr>
      <w:pgSz w:w="12240" w:h="15840" w:orient="portrait"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panose1 w:val="00000000000000000000"/>
    <w:charset w:val="00"/>
    <w:family w:val="swiss"/>
    <w:pitch w:val="variable"/>
    <w:sig w:usb0="20000287" w:usb1="00000003" w:usb2="00000000" w:usb3="00000000" w:csb0="0000019F" w:csb1="00000000"/>
  </w:font>
  <w:font w:name="Cordia New">
    <w:altName w:val="Cordia New"/>
    <w:panose1 w:val="020b0304020000020204"/>
    <w:charset w:val="de"/>
    <w:family w:val="swiss"/>
    <w:pitch w:val="variable"/>
    <w:sig w:usb0="81000003" w:usb1="00000000" w:usb2="00000000" w:usb3="00000000" w:csb0="00010001" w:csb1="00000000"/>
  </w:font>
  <w:font w:name="Aptos Display">
    <w:altName w:val="Aptos Display"/>
    <w:panose1 w:val="00000000000000000000"/>
    <w:charset w:val="00"/>
    <w:family w:val="swiss"/>
    <w:pitch w:val="variable"/>
    <w:sig w:usb0="20000287" w:usb1="00000003" w:usb2="00000000" w:usb3="00000000" w:csb0="0000019F" w:csb1="00000000"/>
  </w:font>
  <w:font w:name="DengXian Light">
    <w:altName w:val="DengXian Light"/>
    <w:panose1 w:val="00000000000000000000"/>
    <w:charset w:val="86"/>
    <w:family w:val="auto"/>
    <w:pitch w:val="variable"/>
    <w:sig w:usb0="A00002BF" w:usb1="38CF7CFA" w:usb2="00000016" w:usb3="00000000" w:csb0="0004000F" w:csb1="00000000"/>
  </w:font>
  <w:font w:name="Angsana New">
    <w:altName w:val="Angsana New"/>
    <w:panose1 w:val="02020603050000020304"/>
    <w:charset w:val="de"/>
    <w:family w:val="roman"/>
    <w:pitch w:val="variable"/>
    <w:sig w:usb0="81000003" w:usb1="00000000" w:usb2="00000000" w:usb3="00000000" w:csb0="00010001" w:csb1="00000000"/>
  </w:font>
  <w:font w:name="DengXian">
    <w:altName w:val="等线"/>
    <w:panose1 w:val="02010600030000010101"/>
    <w:charset w:val="86"/>
    <w:family w:val="auto"/>
    <w:pitch w:val="variable"/>
    <w:sig w:usb0="A00002BF" w:usb1="38CF7CFA" w:usb2="00000016" w:usb3="00000000" w:csb0="0004000F" w:csb1="00000000"/>
  </w:font>
  <w:font w:name="等线 Light">
    <w:altName w:val="等线 Light"/>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DA441BF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hybridMultilevel"/>
    <w:tmpl w:val="77A42B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nsid w:val="00000002"/>
    <w:multiLevelType w:val="multilevel"/>
    <w:tmpl w:val="F0A23A5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2"/>
  </w:num>
  <w:num w:numId="2">
    <w:abstractNumId w:val="1"/>
  </w:num>
  <w:num w:numId="3">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7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PH" w:bidi="th-TH"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Cordia New" w:eastAsia="Aptos" w:hAnsi="Aptos"/>
        <w:sz w:val="22"/>
        <w:szCs w:val="28"/>
        <w:lang w:val="en-PH" w:bidi="th-TH" w:eastAsia="en-US"/>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Angsana New" w:eastAsia="等线 Light" w:hAnsi="Aptos Display"/>
      <w:color w:val="0f4761"/>
      <w:sz w:val="40"/>
      <w:szCs w:val="50"/>
    </w:rPr>
  </w:style>
  <w:style w:type="paragraph" w:styleId="style2">
    <w:name w:val="heading 2"/>
    <w:basedOn w:val="style0"/>
    <w:next w:val="style0"/>
    <w:link w:val="style4098"/>
    <w:qFormat/>
    <w:uiPriority w:val="9"/>
    <w:pPr>
      <w:keepNext/>
      <w:keepLines/>
      <w:spacing w:before="160" w:after="80"/>
      <w:outlineLvl w:val="1"/>
    </w:pPr>
    <w:rPr>
      <w:rFonts w:ascii="Aptos Display" w:cs="Angsana New" w:eastAsia="等线 Light" w:hAnsi="Aptos Display"/>
      <w:color w:val="0f4761"/>
      <w:sz w:val="32"/>
      <w:szCs w:val="40"/>
    </w:rPr>
  </w:style>
  <w:style w:type="paragraph" w:styleId="style3">
    <w:name w:val="heading 3"/>
    <w:basedOn w:val="style0"/>
    <w:next w:val="style0"/>
    <w:link w:val="style4099"/>
    <w:qFormat/>
    <w:uiPriority w:val="9"/>
    <w:pPr>
      <w:keepNext/>
      <w:keepLines/>
      <w:spacing w:before="160" w:after="80"/>
      <w:outlineLvl w:val="2"/>
    </w:pPr>
    <w:rPr>
      <w:rFonts w:cs="Angsana New" w:eastAsia="等线 Light"/>
      <w:color w:val="0f4761"/>
      <w:sz w:val="28"/>
      <w:szCs w:val="35"/>
    </w:rPr>
  </w:style>
  <w:style w:type="paragraph" w:styleId="style4">
    <w:name w:val="heading 4"/>
    <w:basedOn w:val="style0"/>
    <w:next w:val="style0"/>
    <w:link w:val="style4100"/>
    <w:qFormat/>
    <w:uiPriority w:val="9"/>
    <w:pPr>
      <w:keepNext/>
      <w:keepLines/>
      <w:spacing w:before="80" w:after="40"/>
      <w:outlineLvl w:val="3"/>
    </w:pPr>
    <w:rPr>
      <w:rFonts w:cs="Angsana New" w:eastAsia="等线 Light"/>
      <w:i/>
      <w:iCs/>
      <w:color w:val="0f4761"/>
    </w:rPr>
  </w:style>
  <w:style w:type="paragraph" w:styleId="style5">
    <w:name w:val="heading 5"/>
    <w:basedOn w:val="style0"/>
    <w:next w:val="style0"/>
    <w:link w:val="style4101"/>
    <w:qFormat/>
    <w:uiPriority w:val="9"/>
    <w:pPr>
      <w:keepNext/>
      <w:keepLines/>
      <w:spacing w:before="80" w:after="40"/>
      <w:outlineLvl w:val="4"/>
    </w:pPr>
    <w:rPr>
      <w:rFonts w:cs="Angsana New" w:eastAsia="等线 Light"/>
      <w:color w:val="0f4761"/>
    </w:rPr>
  </w:style>
  <w:style w:type="paragraph" w:styleId="style6">
    <w:name w:val="heading 6"/>
    <w:basedOn w:val="style0"/>
    <w:next w:val="style0"/>
    <w:link w:val="style4102"/>
    <w:qFormat/>
    <w:uiPriority w:val="9"/>
    <w:pPr>
      <w:keepNext/>
      <w:keepLines/>
      <w:spacing w:before="40" w:after="0"/>
      <w:outlineLvl w:val="5"/>
    </w:pPr>
    <w:rPr>
      <w:rFonts w:cs="Angsana New" w:eastAsia="等线 Light"/>
      <w:i/>
      <w:iCs/>
      <w:color w:val="595959"/>
    </w:rPr>
  </w:style>
  <w:style w:type="paragraph" w:styleId="style7">
    <w:name w:val="heading 7"/>
    <w:basedOn w:val="style0"/>
    <w:next w:val="style0"/>
    <w:link w:val="style4103"/>
    <w:qFormat/>
    <w:uiPriority w:val="9"/>
    <w:pPr>
      <w:keepNext/>
      <w:keepLines/>
      <w:spacing w:before="40" w:after="0"/>
      <w:outlineLvl w:val="6"/>
    </w:pPr>
    <w:rPr>
      <w:rFonts w:cs="Angsana New" w:eastAsia="等线 Light"/>
      <w:color w:val="595959"/>
    </w:rPr>
  </w:style>
  <w:style w:type="paragraph" w:styleId="style8">
    <w:name w:val="heading 8"/>
    <w:basedOn w:val="style0"/>
    <w:next w:val="style0"/>
    <w:link w:val="style4104"/>
    <w:qFormat/>
    <w:uiPriority w:val="9"/>
    <w:pPr>
      <w:keepNext/>
      <w:keepLines/>
      <w:spacing w:after="0"/>
      <w:outlineLvl w:val="7"/>
    </w:pPr>
    <w:rPr>
      <w:rFonts w:cs="Angsana New" w:eastAsia="等线 Light"/>
      <w:i/>
      <w:iCs/>
      <w:color w:val="272727"/>
    </w:rPr>
  </w:style>
  <w:style w:type="paragraph" w:styleId="style9">
    <w:name w:val="heading 9"/>
    <w:basedOn w:val="style0"/>
    <w:next w:val="style0"/>
    <w:link w:val="style4105"/>
    <w:qFormat/>
    <w:uiPriority w:val="9"/>
    <w:pPr>
      <w:keepNext/>
      <w:keepLines/>
      <w:spacing w:after="0"/>
      <w:outlineLvl w:val="8"/>
    </w:pPr>
    <w:rPr>
      <w:rFonts w:cs="Angsana New" w:eastAsia="等线 Light"/>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f3c26d98-1604-48e9-933b-f68b7470bc07"/>
    <w:basedOn w:val="style65"/>
    <w:next w:val="style4097"/>
    <w:link w:val="style1"/>
    <w:uiPriority w:val="9"/>
    <w:rPr>
      <w:rFonts w:ascii="Aptos Display" w:cs="Angsana New" w:eastAsia="等线 Light" w:hAnsi="Aptos Display"/>
      <w:color w:val="0f4761"/>
      <w:sz w:val="40"/>
      <w:szCs w:val="50"/>
    </w:rPr>
  </w:style>
  <w:style w:type="character" w:customStyle="1" w:styleId="style4098">
    <w:name w:val="Heading 2 Char_027acdf8-161b-48d3-ada2-7c1a7cdedcc6"/>
    <w:basedOn w:val="style65"/>
    <w:next w:val="style4098"/>
    <w:link w:val="style2"/>
    <w:uiPriority w:val="9"/>
    <w:rPr>
      <w:rFonts w:ascii="Aptos Display" w:cs="Angsana New" w:eastAsia="等线 Light" w:hAnsi="Aptos Display"/>
      <w:color w:val="0f4761"/>
      <w:sz w:val="32"/>
      <w:szCs w:val="40"/>
    </w:rPr>
  </w:style>
  <w:style w:type="character" w:customStyle="1" w:styleId="style4099">
    <w:name w:val="Heading 3 Char_f7abd992-3e9d-48b7-929d-18458f6aa759"/>
    <w:basedOn w:val="style65"/>
    <w:next w:val="style4099"/>
    <w:link w:val="style3"/>
    <w:uiPriority w:val="9"/>
    <w:rPr>
      <w:rFonts w:cs="Angsana New" w:eastAsia="等线 Light"/>
      <w:color w:val="0f4761"/>
      <w:sz w:val="28"/>
      <w:szCs w:val="35"/>
    </w:rPr>
  </w:style>
  <w:style w:type="character" w:customStyle="1" w:styleId="style4100">
    <w:name w:val="Heading 4 Char_b33f11d0-73c2-4afc-b3e1-4166577e40ac"/>
    <w:basedOn w:val="style65"/>
    <w:next w:val="style4100"/>
    <w:link w:val="style4"/>
    <w:uiPriority w:val="9"/>
    <w:rPr>
      <w:rFonts w:cs="Angsana New" w:eastAsia="等线 Light"/>
      <w:i/>
      <w:iCs/>
      <w:color w:val="0f4761"/>
    </w:rPr>
  </w:style>
  <w:style w:type="character" w:customStyle="1" w:styleId="style4101">
    <w:name w:val="Heading 5 Char_66e31c93-3c81-467f-871f-09c2999f42b4"/>
    <w:basedOn w:val="style65"/>
    <w:next w:val="style4101"/>
    <w:link w:val="style5"/>
    <w:uiPriority w:val="9"/>
    <w:rPr>
      <w:rFonts w:cs="Angsana New" w:eastAsia="等线 Light"/>
      <w:color w:val="0f4761"/>
    </w:rPr>
  </w:style>
  <w:style w:type="character" w:customStyle="1" w:styleId="style4102">
    <w:name w:val="Heading 6 Char_ed8103a6-342a-4b91-9dad-6e822bc53b8c"/>
    <w:basedOn w:val="style65"/>
    <w:next w:val="style4102"/>
    <w:link w:val="style6"/>
    <w:uiPriority w:val="9"/>
    <w:rPr>
      <w:rFonts w:cs="Angsana New" w:eastAsia="等线 Light"/>
      <w:i/>
      <w:iCs/>
      <w:color w:val="595959"/>
    </w:rPr>
  </w:style>
  <w:style w:type="character" w:customStyle="1" w:styleId="style4103">
    <w:name w:val="Heading 7 Char_81088ff2-35b2-474d-b766-be1891d185d6"/>
    <w:basedOn w:val="style65"/>
    <w:next w:val="style4103"/>
    <w:link w:val="style7"/>
    <w:uiPriority w:val="9"/>
    <w:rPr>
      <w:rFonts w:cs="Angsana New" w:eastAsia="等线 Light"/>
      <w:color w:val="595959"/>
    </w:rPr>
  </w:style>
  <w:style w:type="character" w:customStyle="1" w:styleId="style4104">
    <w:name w:val="Heading 8 Char_0a47f42d-0c44-47cb-b13f-dcfb75a133dd"/>
    <w:basedOn w:val="style65"/>
    <w:next w:val="style4104"/>
    <w:link w:val="style8"/>
    <w:uiPriority w:val="9"/>
    <w:rPr>
      <w:rFonts w:cs="Angsana New" w:eastAsia="等线 Light"/>
      <w:i/>
      <w:iCs/>
      <w:color w:val="272727"/>
    </w:rPr>
  </w:style>
  <w:style w:type="character" w:customStyle="1" w:styleId="style4105">
    <w:name w:val="Heading 9 Char_36fc9839-c355-40c1-a21d-e93bb7392299"/>
    <w:basedOn w:val="style65"/>
    <w:next w:val="style4105"/>
    <w:link w:val="style9"/>
    <w:uiPriority w:val="9"/>
    <w:rPr>
      <w:rFonts w:cs="Angsana New" w:eastAsia="等线 Light"/>
      <w:color w:val="272727"/>
    </w:rPr>
  </w:style>
  <w:style w:type="paragraph" w:styleId="style62">
    <w:name w:val="Title"/>
    <w:basedOn w:val="style0"/>
    <w:next w:val="style0"/>
    <w:link w:val="style4106"/>
    <w:qFormat/>
    <w:uiPriority w:val="10"/>
    <w:pPr>
      <w:spacing w:after="80" w:lineRule="auto" w:line="240"/>
      <w:contextualSpacing/>
    </w:pPr>
    <w:rPr>
      <w:rFonts w:ascii="Aptos Display" w:cs="Angsana New" w:eastAsia="等线 Light" w:hAnsi="Aptos Display"/>
      <w:spacing w:val="-10"/>
      <w:kern w:val="28"/>
      <w:sz w:val="56"/>
      <w:szCs w:val="71"/>
    </w:rPr>
  </w:style>
  <w:style w:type="character" w:customStyle="1" w:styleId="style4106">
    <w:name w:val="Title Char_a07ddc23-870f-4ea0-a6d4-f6e53ae310d8"/>
    <w:basedOn w:val="style65"/>
    <w:next w:val="style4106"/>
    <w:link w:val="style62"/>
    <w:uiPriority w:val="10"/>
    <w:rPr>
      <w:rFonts w:ascii="Aptos Display" w:cs="Angsana New" w:eastAsia="等线 Light" w:hAnsi="Aptos Display"/>
      <w:spacing w:val="-10"/>
      <w:kern w:val="28"/>
      <w:sz w:val="56"/>
      <w:szCs w:val="71"/>
    </w:rPr>
  </w:style>
  <w:style w:type="paragraph" w:styleId="style74">
    <w:name w:val="Subtitle"/>
    <w:basedOn w:val="style0"/>
    <w:next w:val="style0"/>
    <w:link w:val="style4107"/>
    <w:qFormat/>
    <w:uiPriority w:val="11"/>
    <w:pPr>
      <w:numPr>
        <w:ilvl w:val="1"/>
        <w:numId w:val="0"/>
      </w:numPr>
    </w:pPr>
    <w:rPr>
      <w:rFonts w:cs="Angsana New" w:eastAsia="等线 Light"/>
      <w:color w:val="595959"/>
      <w:spacing w:val="15"/>
      <w:sz w:val="28"/>
      <w:szCs w:val="35"/>
    </w:rPr>
  </w:style>
  <w:style w:type="character" w:customStyle="1" w:styleId="style4107">
    <w:name w:val="Subtitle Char"/>
    <w:basedOn w:val="style65"/>
    <w:next w:val="style4107"/>
    <w:link w:val="style74"/>
    <w:uiPriority w:val="11"/>
    <w:rPr>
      <w:rFonts w:cs="Angsana New" w:eastAsia="等线 Light"/>
      <w:color w:val="595959"/>
      <w:spacing w:val="15"/>
      <w:sz w:val="28"/>
      <w:szCs w:val="35"/>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9c5aaf76-dd4b-443c-acf5-ec8d04ed04f6"/>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ce7096c6-7861-4d29-a1d6-463d516bae15"/>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bidi="ar-SA" w:eastAsia="en-PH"/>
    </w:rPr>
  </w:style>
  <w:style w:type="paragraph" w:styleId="style31">
    <w:name w:val="header"/>
    <w:basedOn w:val="style0"/>
    <w:next w:val="style31"/>
    <w:link w:val="style4110"/>
    <w:uiPriority w:val="99"/>
    <w:pPr>
      <w:tabs>
        <w:tab w:val="center" w:leader="none" w:pos="4680"/>
        <w:tab w:val="right" w:leader="none" w:pos="9360"/>
      </w:tabs>
      <w:spacing w:after="0" w:lineRule="auto" w:line="240"/>
    </w:pPr>
    <w:rPr>
      <w:kern w:val="2"/>
      <w:szCs w:val="22"/>
      <w:lang w:bidi="ar-SA"/>
      <w14:ligatures xmlns:w14="http://schemas.microsoft.com/office/word/2010/wordml" w14:val="standardContextual"/>
    </w:rPr>
  </w:style>
  <w:style w:type="character" w:customStyle="1" w:styleId="style4110">
    <w:name w:val="Header Char_04820d69-9b39-4efe-aced-78fb8e11e139"/>
    <w:basedOn w:val="style65"/>
    <w:next w:val="style4110"/>
    <w:link w:val="style31"/>
    <w:uiPriority w:val="99"/>
    <w:rPr>
      <w:kern w:val="2"/>
      <w:szCs w:val="22"/>
      <w:lang w:bidi="ar-SA"/>
      <w14:ligatures xmlns:w14="http://schemas.microsoft.com/office/word/2010/wordml" w14:val="standardContextual"/>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781CD-4E4B-400E-AA56-E41F3223F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Words>1231</Words>
  <Pages>9</Pages>
  <Characters>6675</Characters>
  <Application>WPS Office</Application>
  <DocSecurity>0</DocSecurity>
  <Paragraphs>105</Paragraphs>
  <ScaleCrop>false</ScaleCrop>
  <LinksUpToDate>false</LinksUpToDate>
  <CharactersWithSpaces>7864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2026-02-26T11:20:00Z</dcterms:created>
  <dc:creator>Joren Sinchioco</dc:creator>
  <lastModifiedBy>ALI-NX1</lastModifiedBy>
  <dcterms:modified xsi:type="dcterms:W3CDTF">2026-03-02T22:47:25Z</dcterms:modified>
  <revision>13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63acd9816aab45188463ed04a69578d7</vt:lpwstr>
  </property>
</Properties>
</file>