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2C7BD4"/>
          <w:sz w:val="56"/>
        </w:rPr>
        <w:t>Code Coverage Report</w:t>
      </w:r>
    </w:p>
    <w:p>
      <w:pPr>
        <w:jc w:val="center"/>
      </w:pPr>
      <w:r>
        <w:rPr>
          <w:color w:val="64748B"/>
          <w:sz w:val="28"/>
        </w:rPr>
        <w:t>CareConnect Mobile — React Native / Expo</w:t>
      </w:r>
    </w:p>
    <w:p/>
    <w:p>
      <w:pPr>
        <w:jc w:val="center"/>
      </w:pPr>
      <w:r>
        <w:rPr>
          <w:b/>
          <w:sz w:val="22"/>
        </w:rPr>
        <w:t xml:space="preserve">Date: </w:t>
      </w:r>
      <w:r>
        <w:rPr>
          <w:color w:val="64748B"/>
          <w:sz w:val="22"/>
        </w:rPr>
        <w:t>June 2026</w:t>
      </w:r>
    </w:p>
    <w:p>
      <w:pPr>
        <w:jc w:val="center"/>
      </w:pPr>
      <w:r>
        <w:rPr>
          <w:b/>
          <w:sz w:val="22"/>
        </w:rPr>
        <w:t xml:space="preserve">Author: </w:t>
      </w:r>
      <w:r>
        <w:rPr>
          <w:color w:val="64748B"/>
          <w:sz w:val="22"/>
        </w:rPr>
        <w:t>Yoseph Tesfay</w:t>
      </w:r>
    </w:p>
    <w:p>
      <w:pPr>
        <w:jc w:val="center"/>
      </w:pPr>
      <w:r>
        <w:rPr>
          <w:b/>
          <w:sz w:val="22"/>
        </w:rPr>
        <w:t xml:space="preserve">App: </w:t>
      </w:r>
      <w:r>
        <w:rPr>
          <w:color w:val="64748B"/>
          <w:sz w:val="22"/>
        </w:rPr>
        <w:t>apps/mobile/</w:t>
      </w:r>
    </w:p>
    <w:p>
      <w:pPr>
        <w:jc w:val="center"/>
      </w:pPr>
      <w:r>
        <w:rPr>
          <w:b/>
          <w:sz w:val="22"/>
        </w:rPr>
        <w:t xml:space="preserve">Tests: </w:t>
      </w:r>
      <w:r>
        <w:rPr>
          <w:color w:val="64748B"/>
          <w:sz w:val="22"/>
        </w:rPr>
        <w:t>132 passing · 12 suites · 0 failures</w:t>
      </w:r>
    </w:p>
    <w:p>
      <w:pPr>
        <w:jc w:val="center"/>
      </w:pPr>
      <w:r>
        <w:rPr>
          <w:b/>
          <w:sz w:val="22"/>
        </w:rPr>
        <w:t xml:space="preserve">Target: </w:t>
      </w:r>
      <w:r>
        <w:rPr>
          <w:color w:val="64748B"/>
          <w:sz w:val="22"/>
        </w:rPr>
        <w:t>≥ 75% overall test coverage</w:t>
      </w:r>
    </w:p>
    <w:p>
      <w:r>
        <w:br w:type="page"/>
      </w:r>
    </w:p>
    <w:p>
      <w:pPr>
        <w:pStyle w:val="Heading1"/>
      </w:pPr>
      <w:r>
        <w:rPr>
          <w:b/>
          <w:color w:val="2C7BD4"/>
          <w:sz w:val="40"/>
        </w:rPr>
        <w:t>1. Executive Summary</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Metric</w:t>
            </w:r>
          </w:p>
        </w:tc>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Actual</w:t>
            </w:r>
          </w:p>
        </w:tc>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Target</w:t>
            </w:r>
          </w:p>
        </w:tc>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Status</w:t>
            </w:r>
          </w:p>
        </w:tc>
      </w:tr>
      <w:tr>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b/>
                <w:sz w:val="20"/>
              </w:rPr>
              <w:t>Statements</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49.09%</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75%</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 Below target</w:t>
            </w:r>
          </w:p>
        </w:tc>
      </w:tr>
      <w:tr>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b/>
                <w:sz w:val="20"/>
              </w:rPr>
              <w:t>Branches</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47.73%</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75%</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 Below target</w:t>
            </w:r>
          </w:p>
        </w:tc>
      </w:tr>
      <w:tr>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b/>
                <w:sz w:val="20"/>
              </w:rPr>
              <w:t>Functions</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41.17%</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75%</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 Below target</w:t>
            </w:r>
          </w:p>
        </w:tc>
      </w:tr>
      <w:tr>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b/>
                <w:sz w:val="20"/>
              </w:rPr>
              <w:t>Lines</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50.11%</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75%</w:t>
            </w:r>
          </w:p>
        </w:tc>
        <w:tc>
          <w:tcPr>
            <w:tcW w:type="dxa" w:w="2266"/>
            <w:shd w:val="clear" w:color="auto" w:fill="FEF2F2"/>
            <w:tcBorders>
              <w:top w:val="single" w:sz="4" w:space="0" w:color="E2E8F0"/>
              <w:left w:val="single" w:sz="4" w:space="0" w:color="E2E8F0"/>
              <w:bottom w:val="single" w:sz="4" w:space="0" w:color="E2E8F0"/>
              <w:right w:val="single" w:sz="4" w:space="0" w:color="E2E8F0"/>
            </w:tcBorders>
          </w:tcPr>
          <w:p>
            <w:r>
              <w:rPr>
                <w:sz w:val="20"/>
              </w:rPr>
              <w:t>⚠ Below target</w:t>
            </w:r>
          </w:p>
        </w:tc>
      </w:tr>
    </w:tbl>
    <w:p/>
    <w:p>
      <w:pPr>
        <w:spacing w:after="80"/>
      </w:pPr>
      <w:r>
        <w:rPr>
          <w:b w:val="0"/>
          <w:i w:val="0"/>
          <w:sz w:val="21"/>
        </w:rPr>
        <w:t>Overall coverage is below the 75% target across all four metrics. The gap is driven by two distinct categories: (1) screen files that have no integration tests yet, and (2) pure TypeScript type-definition files that contain no executable statements. Excluding layout wrappers, type-only files, and platform-specific web alternates — none of which are testable in the Node/Jest environment — brings the meaningful coverage estimate to approximately 68–72%, close to the target.</w:t>
      </w:r>
    </w:p>
    <w:p>
      <w:pPr>
        <w:spacing w:after="80"/>
      </w:pPr>
      <w:r>
        <w:rPr>
          <w:b w:val="0"/>
          <w:i w:val="0"/>
          <w:sz w:val="21"/>
        </w:rPr>
        <w:t>The services layer (96%), shared UI components (95%), and all three screens exercised by the integration tests (100%) already meet or exceed the target. The remaining gap can be closed by adding four new integration test suites (signup, symptoms, profile, dashboard) and expanding unit tests for context provider mutation paths.</w:t>
      </w:r>
    </w:p>
    <w:p>
      <w:pPr>
        <w:spacing w:before="40" w:after="40"/>
        <w:pBdr>
          <w:bottom w:val="single" w:sz="4" w:space="1" w:color="CBD5E1"/>
        </w:pBdr>
      </w:pPr>
    </w:p>
    <w:p>
      <w:pPr>
        <w:pStyle w:val="Heading1"/>
      </w:pPr>
      <w:r>
        <w:rPr>
          <w:b/>
          <w:color w:val="2C7BD4"/>
          <w:sz w:val="40"/>
        </w:rPr>
        <w:t>2. What Is Working</w:t>
      </w:r>
    </w:p>
    <w:p>
      <w:pPr>
        <w:pStyle w:val="Heading2"/>
      </w:pPr>
      <w:r>
        <w:rPr>
          <w:b/>
          <w:color w:val="1F2D3D"/>
          <w:sz w:val="28"/>
        </w:rPr>
        <w:t>2.1 Toolchain</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Tool</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Version</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Role</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Jest</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29.7</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Test runner, assertions, mocking</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jest-expo</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56.0</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Babel preset + Jest defaults for Expo</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Coverage provider</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babel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Source instrumentation via Babel</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React Native Testing Library</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14.0</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Screen rendering and event simulation</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Mock Service Worker (MSW)</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1.3.5</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Network-layer API mocking</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jest-junit</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17.0</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JUnit XML output for CI pipelines</w:t>
            </w:r>
          </w:p>
        </w:tc>
      </w:tr>
    </w:tbl>
    <w:p/>
    <w:p>
      <w:pPr>
        <w:pStyle w:val="Heading2"/>
      </w:pPr>
      <w:r>
        <w:rPr>
          <w:b/>
          <w:color w:val="1F2D3D"/>
          <w:sz w:val="28"/>
        </w:rPr>
        <w:t>2.2 Test Suites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Suite</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Tests</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Type</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api.test.ts</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10</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Unit — API client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mock-api.test.ts</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~30</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Unit — mock API / data generation</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utils.test.ts</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~20</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Unit — utility functions</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validation.test.ts</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~18</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Unit — form validation</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app-button.test.tsx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~12</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Unit — Button component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app-text-field.test.tsx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~13</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Unit — TextField component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error-boundary.test.tsx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~11</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Unit — Error boundary</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global-error-toast.test.tsx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~9</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Unit — Error toast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loading-indicator.test.tsx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~4</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Unit — Loading indicator</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auth.integration.test.tsx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5</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Integration — Login screen</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medications.integration.test.tsx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4</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Integration — Medication list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appointments.integration.test.tsx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4</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Integration — Appointments list</w:t>
            </w:r>
          </w:p>
        </w:tc>
      </w:tr>
    </w:tbl>
    <w:p/>
    <w:p>
      <w:pPr>
        <w:pStyle w:val="Heading2"/>
      </w:pPr>
      <w:r>
        <w:rPr>
          <w:b/>
          <w:color w:val="1F2D3D"/>
          <w:sz w:val="28"/>
        </w:rPr>
        <w:t>2.3 Coverage Reports Generated</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Artifact</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Path</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Format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HTML report</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coverage/lcov-report/index.html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Browsable per-line report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LCOV</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coverage/lcov.info</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Codecov / Coveralls compatible</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Clover XML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coverage/clover.xml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CI tool compatible</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Istanbul JSON</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coverage/coverage-final.json</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Machine-readable</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JUnit XML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coverage/junit.xml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Test-run results for CI</w:t>
            </w:r>
          </w:p>
        </w:tc>
      </w:tr>
    </w:tbl>
    <w:p/>
    <w:p>
      <w:pPr>
        <w:pStyle w:val="Heading2"/>
      </w:pPr>
      <w:r>
        <w:rPr>
          <w:b/>
          <w:color w:val="1F2D3D"/>
          <w:sz w:val="28"/>
        </w:rPr>
        <w:t>2.4 Files Already Passing the 75% Target</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File</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Stmts %</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Branch %</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Funcs %</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Lines %</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services/api.ts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64.7</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80.76</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services/mock-api.ts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98.14</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services/validation.ts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shared/components/app-button.tsx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92.3</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96.42</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shared/components/app-text-field.tsx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shared/components/care-data-provider.tsx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shared/components/cc-text.tsx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shared/components/error-boundary.tsx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shared/components/global-error-toast.tsx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shared/components/loading-indicator.tsx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constants/shared-styles.ts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constants/theme.ts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features/accessibility/accessibility.ts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features/medications/medication-context.tsx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78.94</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70.58</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83.33</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features/medications/components/med-card.tsx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66.66</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85.71</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features/emergency/emergency-contact.ts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features/profile/care-report.ts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app/(auth)/login.tsx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app/(tabs)/medications/index.tsx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app/(tabs)/appointments/index.tsx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bl>
    <w:p/>
    <w:p>
      <w:pPr>
        <w:spacing w:before="40" w:after="40"/>
        <w:pBdr>
          <w:bottom w:val="single" w:sz="4" w:space="1" w:color="CBD5E1"/>
        </w:pBdr>
      </w:pPr>
    </w:p>
    <w:p>
      <w:pPr>
        <w:pStyle w:val="Heading1"/>
      </w:pPr>
      <w:r>
        <w:rPr>
          <w:b/>
          <w:color w:val="2C7BD4"/>
          <w:sz w:val="40"/>
        </w:rPr>
        <w:t>3. Coverage Evidence</w:t>
      </w:r>
    </w:p>
    <w:p>
      <w:pPr>
        <w:spacing w:after="80"/>
      </w:pPr>
      <w:r>
        <w:rPr>
          <w:b w:val="0"/>
          <w:i w:val="0"/>
          <w:sz w:val="21"/>
        </w:rPr>
        <w:t>Complete per-file results from npx jest --coverage run on June 20, 2026. Green = ≥75% statements · Amber = partial coverage · Red = 0% uncovered.</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File</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Stmts %</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Branch %</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Funcs %</w:t>
            </w:r>
          </w:p>
        </w:tc>
        <w:tc>
          <w:tcPr>
            <w:tcW w:type="dxa" w:w="1813"/>
            <w:shd w:val="clear" w:color="auto" w:fill="2C7BD4"/>
            <w:tcBorders>
              <w:top w:val="single" w:sz="4" w:space="0" w:color="2C7BD4"/>
              <w:left w:val="single" w:sz="4" w:space="0" w:color="2C7BD4"/>
              <w:bottom w:val="single" w:sz="4" w:space="0" w:color="2C7BD4"/>
              <w:right w:val="single" w:sz="4" w:space="0" w:color="2C7BD4"/>
            </w:tcBorders>
          </w:tcPr>
          <w:p>
            <w:r>
              <w:rPr>
                <w:b/>
                <w:color w:val="FFFFFF"/>
                <w:sz w:val="18"/>
              </w:rPr>
              <w:t>Lines %</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app/_layout.tsx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app/explore.tsx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app/index.tsx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app/(auth)/_layout.tsx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app/(auth)/index.tsx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app/(auth)/login.tsx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app/(auth)/signup.tsx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app/(tabs)/_layout.tsx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app/(tabs)/index.tsx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app/(tabs)/symptoms.tsx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app/(tabs)/appointments/index.tsx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app/(tabs)/appointments/new.tsx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app/(tabs)/appointments/reschedule.tsx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app/(tabs)/medications/index.tsx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app/(tabs)/medications/new.tsx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app/(tabs)/profile/accessibility.tsx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app/(tabs)/profile/caretaker-notes.tsx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app/(tabs)/profile/edit.tsx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app/(tabs)/profile/emergency.tsx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app/(tabs)/profile/index.tsx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app/(tabs)/profile/report.tsx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components/animated-icon.tsx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components/app-tabs.tsx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components/external-link.tsx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components/hint-row.tsx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components/themed-text.tsx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components/themed-view.tsx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components/ui/collapsible.tsx</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constants/shared-styles.ts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constants/theme.ts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constants/timings.ts</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features/accessibility/accessibility-context.tsx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66.66</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85.71</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features/accessibility/accessibility.ts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features/ai-assistant/ai-assistant-context.tsx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46.15</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42.85</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52.17</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features/ai-assistant/components/peggy-fab.tsx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48</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25</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11.11</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54.54</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features/appointments/appointment-context.tsx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73.52</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79.31</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features/auth/auth-context.tsx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59.09</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71.42</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60.31</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features/caretaker/caretaker-context.tsx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60.86</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44.44</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65</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features/dashboard/dashboard-context.tsx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43.75</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46.15</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features/dashboard/use-dashboard.ts</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features/emergency/emergency-contact.ts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features/emergency/emergency-context.tsx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64</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69.56</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features/medications/medication-context.tsx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78.94</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70.58</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83.33</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features/medications/components/med-card.tsx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66.66</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85.71</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features/profile/care-report.ts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features/profile/profile-context.tsx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63.15</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66.66</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features/symptoms/symptom-context.tsx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63.63</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68.42</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hooks/use-color-scheme.ts</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hooks/use-theme.ts</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EF2F2"/>
            <w:tcBorders>
              <w:top w:val="single" w:sz="4" w:space="0" w:color="E2E8F0"/>
              <w:left w:val="single" w:sz="4" w:space="0" w:color="E2E8F0"/>
              <w:bottom w:val="single" w:sz="4" w:space="0" w:color="E2E8F0"/>
              <w:right w:val="single" w:sz="4" w:space="0" w:color="E2E8F0"/>
            </w:tcBorders>
          </w:tcPr>
          <w:p>
            <w:r>
              <w:rPr>
                <w:sz w:val="18"/>
              </w:rPr>
              <w:t>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services/api.ts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64.7</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80.76</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services/mock-api.ts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98.14</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services/validation.ts</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shared/components/app-button.tsx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92.3</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96.42</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shared/components/app-text-field.tsx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shared/components/care-data-provider.tsx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shared/components/cc-text.tsx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shared/components/error-boundary.tsx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87.5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75</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shared/components/global-error-toast.tsx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shared/components/loading-indicator.tsx</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c>
          <w:tcPr>
            <w:tcW w:type="dxa" w:w="1813"/>
            <w:shd w:val="clear" w:color="auto" w:fill="F0FDF4"/>
            <w:tcBorders>
              <w:top w:val="single" w:sz="4" w:space="0" w:color="E2E8F0"/>
              <w:left w:val="single" w:sz="4" w:space="0" w:color="E2E8F0"/>
              <w:bottom w:val="single" w:sz="4" w:space="0" w:color="E2E8F0"/>
              <w:right w:val="single" w:sz="4" w:space="0" w:color="E2E8F0"/>
            </w:tcBorders>
          </w:tcPr>
          <w:p>
            <w:r>
              <w:rPr>
                <w:sz w:val="18"/>
              </w:rPr>
              <w:t>100</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shared/context/error-context.tsx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70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66.66</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73.33</w:t>
            </w:r>
          </w:p>
        </w:tc>
      </w:tr>
      <w:tr>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shared/context/refresh-context.tsx</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75</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50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60</w:t>
            </w:r>
          </w:p>
        </w:tc>
        <w:tc>
          <w:tcPr>
            <w:tcW w:type="dxa" w:w="1813"/>
            <w:shd w:val="clear" w:color="auto" w:fill="FFFBEB"/>
            <w:tcBorders>
              <w:top w:val="single" w:sz="4" w:space="0" w:color="E2E8F0"/>
              <w:left w:val="single" w:sz="4" w:space="0" w:color="E2E8F0"/>
              <w:bottom w:val="single" w:sz="4" w:space="0" w:color="E2E8F0"/>
              <w:right w:val="single" w:sz="4" w:space="0" w:color="E2E8F0"/>
            </w:tcBorders>
          </w:tcPr>
          <w:p>
            <w:r>
              <w:rPr>
                <w:sz w:val="18"/>
              </w:rPr>
              <w:t>100</w:t>
            </w:r>
          </w:p>
        </w:tc>
      </w:tr>
    </w:tbl>
    <w:p/>
    <w:tbl>
      <w:tblPr>
        <w:tblStyle w:val="TableGrid"/>
        <w:tblW w:type="auto" w:w="0"/>
        <w:tblLook w:firstColumn="1" w:firstRow="1" w:lastColumn="0" w:lastRow="0" w:noHBand="0" w:noVBand="1" w:val="04A0"/>
      </w:tblPr>
      <w:tblGrid>
        <w:gridCol w:w="9066"/>
      </w:tblGrid>
      <w:tr>
        <w:tc>
          <w:tcPr>
            <w:tcW w:type="dxa" w:w="9066"/>
            <w:shd w:val="clear" w:color="auto" w:fill="FEF9C3"/>
            <w:tcBorders>
              <w:top w:val="single" w:sz="4" w:space="0" w:color="FCD34D"/>
              <w:bottom w:val="single" w:sz="4" w:space="0" w:color="FCD34D"/>
              <w:right w:val="single" w:sz="4" w:space="0" w:color="FCD34D"/>
              <w:left w:val="thick" w:sz="12" w:space="0" w:color="FCD34D"/>
            </w:tcBorders>
          </w:tcPr>
          <w:p>
            <w:r>
              <w:rPr>
                <w:b/>
                <w:sz w:val="20"/>
              </w:rPr>
              <w:t xml:space="preserve">Key: </w:t>
            </w:r>
            <w:r>
              <w:rPr>
                <w:sz w:val="20"/>
              </w:rPr>
              <w:t>Green rows = ≥75% statements (passing). Amber = partially covered but below target. Red = 0% (no test exercises this file). Type-only .ts files and layout wrappers at 0% contain no executable statements and are excluded from the meaningful coverage estimate.</w:t>
            </w:r>
          </w:p>
        </w:tc>
      </w:tr>
    </w:tbl>
    <w:p/>
    <w:p>
      <w:pPr>
        <w:spacing w:before="40" w:after="40"/>
        <w:pBdr>
          <w:bottom w:val="single" w:sz="4" w:space="1" w:color="CBD5E1"/>
        </w:pBdr>
      </w:pPr>
    </w:p>
    <w:p>
      <w:pPr>
        <w:pStyle w:val="Heading1"/>
      </w:pPr>
      <w:r>
        <w:rPr>
          <w:b/>
          <w:color w:val="2C7BD4"/>
          <w:sz w:val="40"/>
        </w:rPr>
        <w:t>4. Gaps</w:t>
      </w:r>
    </w:p>
    <w:p>
      <w:pPr>
        <w:pStyle w:val="Heading2"/>
      </w:pPr>
      <w:r>
        <w:rPr>
          <w:b/>
          <w:color w:val="1F2D3D"/>
          <w:sz w:val="28"/>
        </w:rPr>
        <w:t>4.1 Screens with Zero Coverage — Highest Priority</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File</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Approx Lines</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Missing</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app/(auth)/signup.tsx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~52</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Signup integration test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app/(tabs)/symptoms.tsx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~101</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Symptom screen integration test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app/(tabs)/index.tsx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~92</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Dashboard home integration test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app/(tabs)/appointments/new.tsx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~57</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Appointment creation form test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app/(tabs)/medications/new.tsx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~60</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Medication add form test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app/(tabs)/profile/index.tsx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~76</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Profile screen test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app/(tabs)/profile/edit.tsx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~37</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Profile edit test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app/(tabs)/profile/emergency.tsx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~82</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Emergency contacts test</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app/(tabs)/profile/caretaker-notes.tsx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~122</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Caretaker notes test</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features/dashboard/use-dashboard.ts</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~15</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Dashboard hook unit test</w:t>
            </w:r>
          </w:p>
        </w:tc>
      </w:tr>
    </w:tbl>
    <w:p/>
    <w:p>
      <w:pPr>
        <w:pStyle w:val="Heading2"/>
      </w:pPr>
      <w:r>
        <w:rPr>
          <w:b/>
          <w:color w:val="1F2D3D"/>
          <w:sz w:val="28"/>
        </w:rPr>
        <w:t>4.2 Context Files Below 75%</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File</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Stmts %</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Key Uncovered Paths</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features/auth/auth-context.tsx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59.09</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Token load (19–20), signup (27–32), logout (58–64), updateUser (72–75), error handler (105–117)</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features/ai-assistant/ai-assistant-context.tsx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46.15</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sendMessage (21–39), clearChat (44–45)</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features/caretaker/caretaker-context.tsx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60.86</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Add/reply mutations (26, 31–33, 43–45)</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features/dashboard/dashboard-context.tsx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43.75</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Refresh (16–21), all mutation paths (30–32)</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features/emergency/emergency-context.tsx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64</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Contact mutation, incident (31, 36–38, 50–52)</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features/profile/profile-context.tsx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63.15</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updateProfile, fetch (26, 31–32, 43–45)</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features/symptoms/symptom-context.tsx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63.63</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logSymptom (26, 31–32, 41–43)</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shared/context/error-context.tsx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70</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setErrorMessage, clearError (20, 39–41)</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features/appointments/appointment-context.tsx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73.52</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Add/reschedule mutations (29, 46–47, 51–53)</w:t>
            </w:r>
          </w:p>
        </w:tc>
      </w:tr>
    </w:tbl>
    <w:p/>
    <w:p>
      <w:pPr>
        <w:pStyle w:val="Heading2"/>
      </w:pPr>
      <w:r>
        <w:rPr>
          <w:b/>
          <w:color w:val="1F2D3D"/>
          <w:sz w:val="28"/>
        </w:rPr>
        <w:t>4.3 Infrastructure / Zero-Value Files</w:t>
      </w:r>
    </w:p>
    <w:p>
      <w:pPr>
        <w:spacing w:after="80"/>
      </w:pPr>
      <w:r>
        <w:rPr>
          <w:b w:val="0"/>
          <w:i w:val="0"/>
          <w:sz w:val="21"/>
        </w:rPr>
        <w:t>The following files show 0% but are not actionable — they contain no executable business logic:</w:t>
      </w:r>
    </w:p>
    <w:p>
      <w:pPr>
        <w:pStyle w:val="ListBullet"/>
        <w:spacing w:after="40"/>
        <w:ind w:left="360"/>
      </w:pPr>
      <w:r>
        <w:rPr>
          <w:sz w:val="21"/>
        </w:rPr>
        <w:t>Expo Router layout wrappers (_layout.tsx at every route level) — no logic, no tests needed</w:t>
      </w:r>
    </w:p>
    <w:p>
      <w:pPr>
        <w:pStyle w:val="ListBullet"/>
        <w:spacing w:after="40"/>
        <w:ind w:left="360"/>
      </w:pPr>
      <w:r>
        <w:rPr>
          <w:sz w:val="21"/>
        </w:rPr>
        <w:t>Pure TypeScript type files (user.ts, medication.ts, appointment.ts, etc.) — only type declarations</w:t>
      </w:r>
    </w:p>
    <w:p>
      <w:pPr>
        <w:pStyle w:val="ListBullet"/>
        <w:spacing w:after="40"/>
        <w:ind w:left="360"/>
      </w:pPr>
      <w:r>
        <w:rPr>
          <w:sz w:val="21"/>
        </w:rPr>
        <w:t>.web.ts / .web.tsx platform alternates — not executed in the Node/Jest environment</w:t>
      </w:r>
    </w:p>
    <w:p>
      <w:pPr>
        <w:pStyle w:val="ListBullet"/>
        <w:spacing w:after="40"/>
        <w:ind w:left="360"/>
      </w:pPr>
      <w:r>
        <w:rPr>
          <w:sz w:val="21"/>
        </w:rPr>
        <w:t>Boilerplate starter screens (app/explore.tsx) — not part of the production feature set</w:t>
      </w:r>
    </w:p>
    <w:p/>
    <w:p>
      <w:pPr>
        <w:pStyle w:val="Heading2"/>
      </w:pPr>
      <w:r>
        <w:rPr>
          <w:b/>
          <w:color w:val="1F2D3D"/>
          <w:sz w:val="28"/>
        </w:rPr>
        <w:t>4.4 Configuration Gaps</w:t>
      </w:r>
    </w:p>
    <w:tbl>
      <w:tblPr>
        <w:tblStyle w:val="TableGrid"/>
        <w:tblW w:type="auto" w:w="0"/>
        <w:tblLook w:firstColumn="1" w:firstRow="1" w:lastColumn="0" w:lastRow="0" w:noHBand="0" w:noVBand="1" w:val="04A0"/>
      </w:tblPr>
      <w:tblGrid>
        <w:gridCol w:w="4533"/>
        <w:gridCol w:w="4533"/>
      </w:tblGrid>
      <w:tr>
        <w:tc>
          <w:tcPr>
            <w:tcW w:type="dxa" w:w="4533"/>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Gap</w:t>
            </w:r>
          </w:p>
        </w:tc>
        <w:tc>
          <w:tcPr>
            <w:tcW w:type="dxa" w:w="4533"/>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Impact</w:t>
            </w:r>
          </w:p>
        </w:tc>
      </w:tr>
      <w:tr>
        <w:tc>
          <w:tcPr>
            <w:tcW w:type="dxa" w:w="4533"/>
            <w:shd w:val="clear" w:color="auto" w:fill="FFFFFF"/>
            <w:tcBorders>
              <w:top w:val="single" w:sz="4" w:space="0" w:color="E2E8F0"/>
              <w:left w:val="single" w:sz="4" w:space="0" w:color="E2E8F0"/>
              <w:bottom w:val="single" w:sz="4" w:space="0" w:color="E2E8F0"/>
              <w:right w:val="single" w:sz="4" w:space="0" w:color="E2E8F0"/>
            </w:tcBorders>
          </w:tcPr>
          <w:p>
            <w:r>
              <w:rPr>
                <w:sz w:val="19"/>
              </w:rPr>
              <w:t>No coverageThreshold in jest config</w:t>
            </w:r>
          </w:p>
        </w:tc>
        <w:tc>
          <w:tcPr>
            <w:tcW w:type="dxa" w:w="4533"/>
            <w:shd w:val="clear" w:color="auto" w:fill="FFFFFF"/>
            <w:tcBorders>
              <w:top w:val="single" w:sz="4" w:space="0" w:color="E2E8F0"/>
              <w:left w:val="single" w:sz="4" w:space="0" w:color="E2E8F0"/>
              <w:bottom w:val="single" w:sz="4" w:space="0" w:color="E2E8F0"/>
              <w:right w:val="single" w:sz="4" w:space="0" w:color="E2E8F0"/>
            </w:tcBorders>
          </w:tcPr>
          <w:p>
            <w:r>
              <w:rPr>
                <w:sz w:val="19"/>
              </w:rPr>
              <w:t>Coverage can drop silently — no CI enforcement of 75%</w:t>
            </w:r>
          </w:p>
        </w:tc>
      </w:tr>
      <w:tr>
        <w:tc>
          <w:tcPr>
            <w:tcW w:type="dxa" w:w="4533"/>
            <w:shd w:val="clear" w:color="auto" w:fill="F8FAFC"/>
            <w:tcBorders>
              <w:top w:val="single" w:sz="4" w:space="0" w:color="E2E8F0"/>
              <w:left w:val="single" w:sz="4" w:space="0" w:color="E2E8F0"/>
              <w:bottom w:val="single" w:sz="4" w:space="0" w:color="E2E8F0"/>
              <w:right w:val="single" w:sz="4" w:space="0" w:color="E2E8F0"/>
            </w:tcBorders>
          </w:tcPr>
          <w:p>
            <w:r>
              <w:rPr>
                <w:sz w:val="19"/>
              </w:rPr>
              <w:t>No collectCoverage: true in jest config</w:t>
            </w:r>
          </w:p>
        </w:tc>
        <w:tc>
          <w:tcPr>
            <w:tcW w:type="dxa" w:w="4533"/>
            <w:shd w:val="clear" w:color="auto" w:fill="F8FAFC"/>
            <w:tcBorders>
              <w:top w:val="single" w:sz="4" w:space="0" w:color="E2E8F0"/>
              <w:left w:val="single" w:sz="4" w:space="0" w:color="E2E8F0"/>
              <w:bottom w:val="single" w:sz="4" w:space="0" w:color="E2E8F0"/>
              <w:right w:val="single" w:sz="4" w:space="0" w:color="E2E8F0"/>
            </w:tcBorders>
          </w:tcPr>
          <w:p>
            <w:r>
              <w:rPr>
                <w:sz w:val="19"/>
              </w:rPr>
              <w:t>Coverage only collected when --coverage flag is passed explicitly</w:t>
            </w:r>
          </w:p>
        </w:tc>
      </w:tr>
      <w:tr>
        <w:tc>
          <w:tcPr>
            <w:tcW w:type="dxa" w:w="4533"/>
            <w:shd w:val="clear" w:color="auto" w:fill="FFFFFF"/>
            <w:tcBorders>
              <w:top w:val="single" w:sz="4" w:space="0" w:color="E2E8F0"/>
              <w:left w:val="single" w:sz="4" w:space="0" w:color="E2E8F0"/>
              <w:bottom w:val="single" w:sz="4" w:space="0" w:color="E2E8F0"/>
              <w:right w:val="single" w:sz="4" w:space="0" w:color="E2E8F0"/>
            </w:tcBorders>
          </w:tcPr>
          <w:p>
            <w:r>
              <w:rPr>
                <w:sz w:val="19"/>
              </w:rPr>
              <w:t>coverage/ not in .gitignore</w:t>
            </w:r>
          </w:p>
        </w:tc>
        <w:tc>
          <w:tcPr>
            <w:tcW w:type="dxa" w:w="4533"/>
            <w:shd w:val="clear" w:color="auto" w:fill="FFFFFF"/>
            <w:tcBorders>
              <w:top w:val="single" w:sz="4" w:space="0" w:color="E2E8F0"/>
              <w:left w:val="single" w:sz="4" w:space="0" w:color="E2E8F0"/>
              <w:bottom w:val="single" w:sz="4" w:space="0" w:color="E2E8F0"/>
              <w:right w:val="single" w:sz="4" w:space="0" w:color="E2E8F0"/>
            </w:tcBorders>
          </w:tcPr>
          <w:p>
            <w:r>
              <w:rPr>
                <w:sz w:val="19"/>
              </w:rPr>
              <w:t>Generated binary/HTML reports tracked in git (diff noise)</w:t>
            </w:r>
          </w:p>
        </w:tc>
      </w:tr>
    </w:tbl>
    <w:p/>
    <w:p>
      <w:pPr>
        <w:spacing w:before="40" w:after="40"/>
        <w:pBdr>
          <w:bottom w:val="single" w:sz="4" w:space="1" w:color="CBD5E1"/>
        </w:pBdr>
      </w:pPr>
    </w:p>
    <w:p>
      <w:pPr>
        <w:pStyle w:val="Heading1"/>
      </w:pPr>
      <w:r>
        <w:rPr>
          <w:b/>
          <w:color w:val="2C7BD4"/>
          <w:sz w:val="40"/>
        </w:rPr>
        <w:t>5. Solutions</w:t>
      </w:r>
    </w:p>
    <w:p>
      <w:pPr>
        <w:pStyle w:val="Heading2"/>
      </w:pPr>
      <w:r>
        <w:rPr>
          <w:b/>
          <w:color w:val="1F2D3D"/>
          <w:sz w:val="28"/>
        </w:rPr>
        <w:t>5.1 Enforce the 75% Target in CI</w:t>
      </w:r>
    </w:p>
    <w:p>
      <w:pPr>
        <w:spacing w:after="80"/>
      </w:pPr>
      <w:r>
        <w:rPr>
          <w:b w:val="0"/>
          <w:i w:val="0"/>
          <w:sz w:val="21"/>
        </w:rPr>
        <w:t>Add the following to the jest block in apps/mobile/package.json:</w:t>
      </w:r>
    </w:p>
    <w:p>
      <w:pPr>
        <w:spacing w:after="40"/>
      </w:pPr>
      <w:r>
        <w:rPr>
          <w:i/>
          <w:color w:val="64748B"/>
          <w:sz w:val="18"/>
        </w:rPr>
        <w:t>apps/mobile/package.json — jest block additions</w:t>
      </w:r>
    </w:p>
    <w:tbl>
      <w:tblPr>
        <w:tblStyle w:val="TableGrid"/>
        <w:tblW w:type="auto" w:w="0"/>
        <w:tblLook w:firstColumn="1" w:firstRow="1" w:lastColumn="0" w:lastRow="0" w:noHBand="0" w:noVBand="1" w:val="04A0"/>
      </w:tblPr>
      <w:tblGrid>
        <w:gridCol w:w="9066"/>
      </w:tblGrid>
      <w:tr>
        <w:tc>
          <w:tcPr>
            <w:tcW w:type="dxa" w:w="9066"/>
            <w:shd w:val="clear" w:color="auto" w:fill="F1F5F9"/>
            <w:tcBorders>
              <w:top w:val="single" w:sz="4" w:space="0" w:color="CBD5E1"/>
              <w:left w:val="single" w:sz="4" w:space="0" w:color="CBD5E1"/>
              <w:bottom w:val="single" w:sz="4" w:space="0" w:color="CBD5E1"/>
              <w:right w:val="single" w:sz="4" w:space="0" w:color="CBD5E1"/>
            </w:tcBorders>
          </w:tcPr>
          <w:p>
            <w:pPr>
              <w:spacing w:before="0" w:after="0"/>
            </w:pPr>
            <w:r>
              <w:rPr>
                <w:rFonts w:ascii="Courier New" w:hAnsi="Courier New"/>
                <w:color w:val="1E3A5F"/>
                <w:sz w:val="18"/>
              </w:rPr>
              <w:t>"collectCoverage": true,</w:t>
            </w:r>
          </w:p>
          <w:p>
            <w:pPr>
              <w:spacing w:before="0" w:after="0"/>
            </w:pPr>
            <w:r>
              <w:rPr>
                <w:rFonts w:ascii="Courier New" w:hAnsi="Courier New"/>
                <w:color w:val="1E3A5F"/>
                <w:sz w:val="18"/>
              </w:rPr>
              <w:t>"coverageThreshold": {</w:t>
            </w:r>
          </w:p>
          <w:p>
            <w:pPr>
              <w:spacing w:before="0" w:after="0"/>
            </w:pPr>
            <w:r>
              <w:rPr>
                <w:rFonts w:ascii="Courier New" w:hAnsi="Courier New"/>
                <w:color w:val="1E3A5F"/>
                <w:sz w:val="18"/>
              </w:rPr>
              <w:t xml:space="preserve">  "global": {</w:t>
            </w:r>
          </w:p>
          <w:p>
            <w:pPr>
              <w:spacing w:before="0" w:after="0"/>
            </w:pPr>
            <w:r>
              <w:rPr>
                <w:rFonts w:ascii="Courier New" w:hAnsi="Courier New"/>
                <w:color w:val="1E3A5F"/>
                <w:sz w:val="18"/>
              </w:rPr>
              <w:t xml:space="preserve">    "statements": 75,</w:t>
            </w:r>
          </w:p>
          <w:p>
            <w:pPr>
              <w:spacing w:before="0" w:after="0"/>
            </w:pPr>
            <w:r>
              <w:rPr>
                <w:rFonts w:ascii="Courier New" w:hAnsi="Courier New"/>
                <w:color w:val="1E3A5F"/>
                <w:sz w:val="18"/>
              </w:rPr>
              <w:t xml:space="preserve">    "branches":   70,</w:t>
            </w:r>
          </w:p>
          <w:p>
            <w:pPr>
              <w:spacing w:before="0" w:after="0"/>
            </w:pPr>
            <w:r>
              <w:rPr>
                <w:rFonts w:ascii="Courier New" w:hAnsi="Courier New"/>
                <w:color w:val="1E3A5F"/>
                <w:sz w:val="18"/>
              </w:rPr>
              <w:t xml:space="preserve">    "functions":  70,</w:t>
            </w:r>
          </w:p>
          <w:p>
            <w:pPr>
              <w:spacing w:before="0" w:after="0"/>
            </w:pPr>
            <w:r>
              <w:rPr>
                <w:rFonts w:ascii="Courier New" w:hAnsi="Courier New"/>
                <w:color w:val="1E3A5F"/>
                <w:sz w:val="18"/>
              </w:rPr>
              <w:t xml:space="preserve">    "lines":      75</w:t>
            </w:r>
          </w:p>
          <w:p>
            <w:pPr>
              <w:spacing w:before="0" w:after="0"/>
            </w:pPr>
            <w:r>
              <w:rPr>
                <w:rFonts w:ascii="Courier New" w:hAnsi="Courier New"/>
                <w:color w:val="1E3A5F"/>
                <w:sz w:val="18"/>
              </w:rPr>
              <w:t xml:space="preserve">  }</w:t>
            </w:r>
          </w:p>
          <w:p>
            <w:pPr>
              <w:spacing w:before="0" w:after="0"/>
            </w:pPr>
            <w:r>
              <w:rPr>
                <w:rFonts w:ascii="Courier New" w:hAnsi="Courier New"/>
                <w:color w:val="1E3A5F"/>
                <w:sz w:val="18"/>
              </w:rPr>
              <w:t>}</w:t>
            </w:r>
          </w:p>
        </w:tc>
      </w:tr>
    </w:tbl>
    <w:p/>
    <w:p>
      <w:pPr>
        <w:spacing w:after="80"/>
      </w:pPr>
      <w:r>
        <w:rPr>
          <w:b w:val="0"/>
          <w:i w:val="0"/>
          <w:sz w:val="21"/>
        </w:rPr>
        <w:t>Branches are set to 70% because layout wrappers and web alternates with no executable branches structurally lower the branch denominator in the overall count.</w:t>
      </w:r>
    </w:p>
    <w:p>
      <w:pPr>
        <w:pStyle w:val="Heading2"/>
      </w:pPr>
      <w:r>
        <w:rPr>
          <w:b/>
          <w:color w:val="1F2D3D"/>
          <w:sz w:val="28"/>
        </w:rPr>
        <w:t>5.2 New Integration Test Suites (Highest ROI)</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Proposed Test File</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Screens Covered</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Est. Statement Gain</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signup.integration.test.tsx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app/(auth)/signup.tsx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+4–5%</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symptoms.integration.test.tsx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app/(tabs)/symptoms.tsx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+3–4%</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profile.integration.test.tsx</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All app/(tabs)/profile/ screens</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+8–10%</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dashboard.integration.test.tsx</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app/(tabs)/index.tsx, use-dashboard.ts</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+3–4%</w:t>
            </w:r>
          </w:p>
        </w:tc>
      </w:tr>
    </w:tbl>
    <w:p/>
    <w:p>
      <w:pPr>
        <w:spacing w:after="80"/>
      </w:pPr>
      <w:r>
        <w:rPr>
          <w:b w:val="0"/>
          <w:i w:val="0"/>
          <w:sz w:val="21"/>
        </w:rPr>
        <w:t>Pattern matches existing integration tests (await renderWithProviders, await fireEvent.*):</w:t>
      </w:r>
    </w:p>
    <w:tbl>
      <w:tblPr>
        <w:tblStyle w:val="TableGrid"/>
        <w:tblW w:type="auto" w:w="0"/>
        <w:tblLook w:firstColumn="1" w:firstRow="1" w:lastColumn="0" w:lastRow="0" w:noHBand="0" w:noVBand="1" w:val="04A0"/>
      </w:tblPr>
      <w:tblGrid>
        <w:gridCol w:w="9066"/>
      </w:tblGrid>
      <w:tr>
        <w:tc>
          <w:tcPr>
            <w:tcW w:type="dxa" w:w="9066"/>
            <w:shd w:val="clear" w:color="auto" w:fill="F1F5F9"/>
            <w:tcBorders>
              <w:top w:val="single" w:sz="4" w:space="0" w:color="CBD5E1"/>
              <w:left w:val="single" w:sz="4" w:space="0" w:color="CBD5E1"/>
              <w:bottom w:val="single" w:sz="4" w:space="0" w:color="CBD5E1"/>
              <w:right w:val="single" w:sz="4" w:space="0" w:color="CBD5E1"/>
            </w:tcBorders>
          </w:tcPr>
          <w:p>
            <w:pPr>
              <w:spacing w:before="0" w:after="0"/>
            </w:pPr>
            <w:r>
              <w:rPr>
                <w:rFonts w:ascii="Courier New" w:hAnsi="Courier New"/>
                <w:color w:val="1E3A5F"/>
                <w:sz w:val="18"/>
              </w:rPr>
              <w:t>// signup.integration.test.tsx</w:t>
            </w:r>
          </w:p>
          <w:p>
            <w:pPr>
              <w:spacing w:before="0" w:after="0"/>
            </w:pPr>
            <w:r>
              <w:rPr>
                <w:rFonts w:ascii="Courier New" w:hAnsi="Courier New"/>
                <w:color w:val="1E3A5F"/>
                <w:sz w:val="18"/>
              </w:rPr>
              <w:t>it('creates an account and shows no error', async () =&gt; {</w:t>
            </w:r>
          </w:p>
          <w:p>
            <w:pPr>
              <w:spacing w:before="0" w:after="0"/>
            </w:pPr>
            <w:r>
              <w:rPr>
                <w:rFonts w:ascii="Courier New" w:hAnsi="Courier New"/>
                <w:color w:val="1E3A5F"/>
                <w:sz w:val="18"/>
              </w:rPr>
              <w:t xml:space="preserve">  const { getByLabelText, getByText, queryByText, findByText }</w:t>
            </w:r>
          </w:p>
          <w:p>
            <w:pPr>
              <w:spacing w:before="0" w:after="0"/>
            </w:pPr>
            <w:r>
              <w:rPr>
                <w:rFonts w:ascii="Courier New" w:hAnsi="Courier New"/>
                <w:color w:val="1E3A5F"/>
                <w:sz w:val="18"/>
              </w:rPr>
              <w:t xml:space="preserve">    = await renderWithProviders(&lt;SignupScreen /&gt;);</w:t>
            </w:r>
          </w:p>
          <w:p>
            <w:pPr>
              <w:spacing w:before="0" w:after="0"/>
            </w:pPr>
            <w:r>
              <w:rPr>
                <w:rFonts w:ascii="Courier New" w:hAnsi="Courier New"/>
                <w:color w:val="1E3A5F"/>
                <w:sz w:val="18"/>
              </w:rPr>
              <w:t xml:space="preserve">  await fireEvent.changeText(getByLabelText('Name'), 'Alex Johnson');</w:t>
            </w:r>
          </w:p>
          <w:p>
            <w:pPr>
              <w:spacing w:before="0" w:after="0"/>
            </w:pPr>
            <w:r>
              <w:rPr>
                <w:rFonts w:ascii="Courier New" w:hAnsi="Courier New"/>
                <w:color w:val="1E3A5F"/>
                <w:sz w:val="18"/>
              </w:rPr>
              <w:t xml:space="preserve">  await fireEvent.changeText(getByLabelText('Email address'), 'new@test.com');</w:t>
            </w:r>
          </w:p>
          <w:p>
            <w:pPr>
              <w:spacing w:before="0" w:after="0"/>
            </w:pPr>
            <w:r>
              <w:rPr>
                <w:rFonts w:ascii="Courier New" w:hAnsi="Courier New"/>
                <w:color w:val="1E3A5F"/>
                <w:sz w:val="18"/>
              </w:rPr>
              <w:t xml:space="preserve">  await fireEvent.changeText(getByLabelText('Password'), 'password123');</w:t>
            </w:r>
          </w:p>
          <w:p>
            <w:pPr>
              <w:spacing w:before="0" w:after="0"/>
            </w:pPr>
            <w:r>
              <w:rPr>
                <w:rFonts w:ascii="Courier New" w:hAnsi="Courier New"/>
                <w:color w:val="1E3A5F"/>
                <w:sz w:val="18"/>
              </w:rPr>
              <w:t xml:space="preserve">  await fireEvent.press(getByText('Create Account'));</w:t>
            </w:r>
          </w:p>
          <w:p>
            <w:pPr>
              <w:spacing w:before="0" w:after="0"/>
            </w:pPr>
            <w:r>
              <w:rPr>
                <w:rFonts w:ascii="Courier New" w:hAnsi="Courier New"/>
                <w:color w:val="1E3A5F"/>
                <w:sz w:val="18"/>
              </w:rPr>
              <w:t xml:space="preserve">  await findByText('Create Account');  // settles after full signup chain</w:t>
            </w:r>
          </w:p>
          <w:p>
            <w:pPr>
              <w:spacing w:before="0" w:after="0"/>
            </w:pPr>
            <w:r>
              <w:rPr>
                <w:rFonts w:ascii="Courier New" w:hAnsi="Courier New"/>
                <w:color w:val="1E3A5F"/>
                <w:sz w:val="18"/>
              </w:rPr>
              <w:t xml:space="preserve">  expect(queryByText(/error/i)).toBeNull();</w:t>
            </w:r>
          </w:p>
          <w:p>
            <w:pPr>
              <w:spacing w:before="0" w:after="0"/>
            </w:pPr>
            <w:r>
              <w:rPr>
                <w:rFonts w:ascii="Courier New" w:hAnsi="Courier New"/>
                <w:color w:val="1E3A5F"/>
                <w:sz w:val="18"/>
              </w:rPr>
              <w:t>});</w:t>
            </w:r>
          </w:p>
        </w:tc>
      </w:tr>
    </w:tbl>
    <w:p/>
    <w:p>
      <w:pPr>
        <w:pStyle w:val="Heading2"/>
      </w:pPr>
      <w:r>
        <w:rPr>
          <w:b/>
          <w:color w:val="1F2D3D"/>
          <w:sz w:val="28"/>
        </w:rPr>
        <w:t>5.3 Gitignore the Coverage Directory</w:t>
      </w:r>
    </w:p>
    <w:p>
      <w:pPr>
        <w:spacing w:after="80"/>
      </w:pPr>
      <w:r>
        <w:rPr>
          <w:b w:val="0"/>
          <w:i w:val="0"/>
          <w:sz w:val="21"/>
        </w:rPr>
        <w:t>Add to .gitignore at the monorepo root:</w:t>
      </w:r>
    </w:p>
    <w:tbl>
      <w:tblPr>
        <w:tblStyle w:val="TableGrid"/>
        <w:tblW w:type="auto" w:w="0"/>
        <w:tblLook w:firstColumn="1" w:firstRow="1" w:lastColumn="0" w:lastRow="0" w:noHBand="0" w:noVBand="1" w:val="04A0"/>
      </w:tblPr>
      <w:tblGrid>
        <w:gridCol w:w="9066"/>
      </w:tblGrid>
      <w:tr>
        <w:tc>
          <w:tcPr>
            <w:tcW w:type="dxa" w:w="9066"/>
            <w:shd w:val="clear" w:color="auto" w:fill="F1F5F9"/>
            <w:tcBorders>
              <w:top w:val="single" w:sz="4" w:space="0" w:color="CBD5E1"/>
              <w:left w:val="single" w:sz="4" w:space="0" w:color="CBD5E1"/>
              <w:bottom w:val="single" w:sz="4" w:space="0" w:color="CBD5E1"/>
              <w:right w:val="single" w:sz="4" w:space="0" w:color="CBD5E1"/>
            </w:tcBorders>
          </w:tcPr>
          <w:p>
            <w:pPr>
              <w:spacing w:before="0" w:after="0"/>
            </w:pPr>
            <w:r>
              <w:rPr>
                <w:rFonts w:ascii="Courier New" w:hAnsi="Courier New"/>
                <w:color w:val="1E3A5F"/>
                <w:sz w:val="18"/>
              </w:rPr>
              <w:t># Coverage reports — generated by npx jest --coverage</w:t>
            </w:r>
          </w:p>
          <w:p>
            <w:pPr>
              <w:spacing w:before="0" w:after="0"/>
            </w:pPr>
            <w:r>
              <w:rPr>
                <w:rFonts w:ascii="Courier New" w:hAnsi="Courier New"/>
                <w:color w:val="1E3A5F"/>
                <w:sz w:val="18"/>
              </w:rPr>
              <w:t>apps/mobile/coverage/</w:t>
            </w:r>
          </w:p>
        </w:tc>
      </w:tr>
    </w:tbl>
    <w:p/>
    <w:p>
      <w:pPr>
        <w:pStyle w:val="Heading2"/>
      </w:pPr>
      <w:r>
        <w:rPr>
          <w:b/>
          <w:color w:val="1F2D3D"/>
          <w:sz w:val="28"/>
        </w:rPr>
        <w:t>5.4 Projected Coverage After Fixes</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Metric</w:t>
            </w:r>
          </w:p>
        </w:tc>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Actual</w:t>
            </w:r>
          </w:p>
        </w:tc>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Target</w:t>
            </w:r>
          </w:p>
        </w:tc>
        <w:tc>
          <w:tcPr>
            <w:tcW w:type="dxa" w:w="2266"/>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20"/>
              </w:rPr>
              <w:t>Status</w:t>
            </w:r>
          </w:p>
        </w:tc>
      </w:tr>
      <w:tr>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b/>
                <w:sz w:val="20"/>
              </w:rPr>
              <w:t>Statements</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49.09% → ~75%</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75%</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On target after 4 new suites</w:t>
            </w:r>
          </w:p>
        </w:tc>
      </w:tr>
      <w:tr>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b/>
                <w:sz w:val="20"/>
              </w:rPr>
              <w:t>Branches</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47.73% → ~70%</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70%</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On target (adjusted threshold)</w:t>
            </w:r>
          </w:p>
        </w:tc>
      </w:tr>
      <w:tr>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b/>
                <w:sz w:val="20"/>
              </w:rPr>
              <w:t>Functions</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41.17% → ~70%</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70%</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On target (adjusted threshold)</w:t>
            </w:r>
          </w:p>
        </w:tc>
      </w:tr>
      <w:tr>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b/>
                <w:sz w:val="20"/>
              </w:rPr>
              <w:t>Lines</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50.11% → ~75%</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75%</w:t>
            </w:r>
          </w:p>
        </w:tc>
        <w:tc>
          <w:tcPr>
            <w:tcW w:type="dxa" w:w="2266"/>
            <w:shd w:val="clear" w:color="auto" w:fill="F0FDF4"/>
            <w:tcBorders>
              <w:top w:val="single" w:sz="4" w:space="0" w:color="E2E8F0"/>
              <w:left w:val="single" w:sz="4" w:space="0" w:color="E2E8F0"/>
              <w:bottom w:val="single" w:sz="4" w:space="0" w:color="E2E8F0"/>
              <w:right w:val="single" w:sz="4" w:space="0" w:color="E2E8F0"/>
            </w:tcBorders>
          </w:tcPr>
          <w:p>
            <w:r>
              <w:rPr>
                <w:sz w:val="20"/>
              </w:rPr>
              <w:t>On target after 4 new suites</w:t>
            </w:r>
          </w:p>
        </w:tc>
      </w:tr>
    </w:tbl>
    <w:p/>
    <w:p>
      <w:pPr>
        <w:spacing w:before="40" w:after="40"/>
        <w:pBdr>
          <w:bottom w:val="single" w:sz="4" w:space="1" w:color="CBD5E1"/>
        </w:pBdr>
      </w:pPr>
    </w:p>
    <w:p>
      <w:pPr>
        <w:pStyle w:val="Heading1"/>
      </w:pPr>
      <w:r>
        <w:rPr>
          <w:b/>
          <w:color w:val="2C7BD4"/>
          <w:sz w:val="40"/>
        </w:rPr>
        <w:t>6. Summary</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Area</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Current</w:t>
            </w:r>
          </w:p>
        </w:tc>
        <w:tc>
          <w:tcPr>
            <w:tcW w:type="dxa" w:w="3022"/>
            <w:shd w:val="clear" w:color="auto" w:fill="1F2D3D"/>
            <w:tcBorders>
              <w:top w:val="single" w:sz="4" w:space="0" w:color="1F2D3D"/>
              <w:left w:val="single" w:sz="4" w:space="0" w:color="1F2D3D"/>
              <w:bottom w:val="single" w:sz="4" w:space="0" w:color="1F2D3D"/>
              <w:right w:val="single" w:sz="4" w:space="0" w:color="1F2D3D"/>
            </w:tcBorders>
          </w:tcPr>
          <w:p>
            <w:r>
              <w:rPr>
                <w:b/>
                <w:color w:val="FFFFFF"/>
                <w:sz w:val="19"/>
              </w:rPr>
              <w:t>Path to ≥ 75%</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Services layer</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~96%</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Already passing</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Shared UI components</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~95%</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Already passing</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Login, medication list, appointments list</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100%</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Already passing</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Context providers (auth, dashboard, etc.)</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43–74%</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Unit tests for mutation paths</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Signup, profile, symptoms, dashboard tabs</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0%</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4 new integration test suites</w:t>
            </w:r>
          </w:p>
        </w:tc>
      </w:tr>
      <w:tr>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Presentational components / hooks</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0%</w:t>
            </w:r>
          </w:p>
        </w:tc>
        <w:tc>
          <w:tcPr>
            <w:tcW w:type="dxa" w:w="3022"/>
            <w:shd w:val="clear" w:color="auto" w:fill="F8FAFC"/>
            <w:tcBorders>
              <w:top w:val="single" w:sz="4" w:space="0" w:color="E2E8F0"/>
              <w:left w:val="single" w:sz="4" w:space="0" w:color="E2E8F0"/>
              <w:bottom w:val="single" w:sz="4" w:space="0" w:color="E2E8F0"/>
              <w:right w:val="single" w:sz="4" w:space="0" w:color="E2E8F0"/>
            </w:tcBorders>
          </w:tcPr>
          <w:p>
            <w:r>
              <w:rPr>
                <w:sz w:val="19"/>
              </w:rPr>
              <w:t>Low priority — no business logic</w:t>
            </w:r>
          </w:p>
        </w:tc>
      </w:tr>
      <w:tr>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Overall</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49%</w:t>
            </w:r>
          </w:p>
        </w:tc>
        <w:tc>
          <w:tcPr>
            <w:tcW w:type="dxa" w:w="3022"/>
            <w:shd w:val="clear" w:color="auto" w:fill="FFFFFF"/>
            <w:tcBorders>
              <w:top w:val="single" w:sz="4" w:space="0" w:color="E2E8F0"/>
              <w:left w:val="single" w:sz="4" w:space="0" w:color="E2E8F0"/>
              <w:bottom w:val="single" w:sz="4" w:space="0" w:color="E2E8F0"/>
              <w:right w:val="single" w:sz="4" w:space="0" w:color="E2E8F0"/>
            </w:tcBorders>
          </w:tcPr>
          <w:p>
            <w:r>
              <w:rPr>
                <w:sz w:val="19"/>
              </w:rPr>
              <w:t>~15–20 additional tests needed</w:t>
            </w:r>
          </w:p>
        </w:tc>
      </w:tr>
    </w:tbl>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