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notes+xml" PartName="/word/footnot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b w:val="1"/>
          <w:bCs w:val="1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</wp:posOffset>
                </wp:positionH>
                <wp:positionV relativeFrom="paragraph">
                  <wp:posOffset>9525</wp:posOffset>
                </wp:positionV>
                <wp:extent cx="6238875" cy="1562100"/>
                <wp:effectExtent b="0" l="0" r="0" t="0"/>
                <wp:wrapNone/>
                <wp:docPr id="28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2226550" y="2998950"/>
                          <a:ext cx="6238875" cy="1562100"/>
                          <a:chOff x="2226550" y="2998950"/>
                          <a:chExt cx="6238900" cy="1562100"/>
                        </a:xfrm>
                      </wpg:grpSpPr>
                      <wpg:grpSp>
                        <wpg:cNvGrpSpPr/>
                        <wpg:grpSpPr>
                          <a:xfrm>
                            <a:off x="2226563" y="2998950"/>
                            <a:ext cx="6238875" cy="1562100"/>
                            <a:chOff x="0" y="0"/>
                            <a:chExt cx="5991225" cy="1562100"/>
                          </a:xfrm>
                        </wpg:grpSpPr>
                        <wps:wsp>
                          <wps:cNvSpPr/>
                          <wps:cNvPr id="3" name="Shape 3"/>
                          <wps:spPr>
                            <a:xfrm>
                              <a:off x="0" y="0"/>
                              <a:ext cx="5991225" cy="15621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4" name="Shape 4"/>
                          <wps:spPr>
                            <a:xfrm>
                              <a:off x="1024671" y="299473"/>
                              <a:ext cx="4966554" cy="1262627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libri" w:cs="Calibri" w:eastAsia="Calibri" w:hAnsi="Calibri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ff0000"/>
                                    <w:sz w:val="48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Calibri" w:cs="Calibri" w:eastAsia="Calibri" w:hAnsi="Calibri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1f3864"/>
                                    <w:sz w:val="48"/>
                                    <w:vertAlign w:val="baseline"/>
                                  </w:rPr>
                                  <w:t xml:space="preserve">Guía2. Desarrollo Proyecto APT 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libri" w:cs="Calibri" w:eastAsia="Calibri" w:hAnsi="Calibri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1f3864"/>
                                    <w:sz w:val="48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Calibri" w:cs="Calibri" w:eastAsia="Calibri" w:hAnsi="Calibri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1f3864"/>
                                    <w:sz w:val="48"/>
                                    <w:vertAlign w:val="baseline"/>
                                  </w:rPr>
                                  <w:t xml:space="preserve">Asignatura Capstone</w:t>
                                </w:r>
                              </w:p>
                            </w:txbxContent>
                          </wps:txbx>
                          <wps:bodyPr anchorCtr="0" anchor="t" bIns="45700" lIns="91425" spcFirstLastPara="1" rIns="91425" wrap="square" tIns="45700">
                            <a:noAutofit/>
                          </wps:bodyPr>
                        </wps:wsp>
                        <wps:wsp>
                          <wps:cNvSpPr/>
                          <wps:cNvPr id="5" name="Shape 5"/>
                          <wps:spPr>
                            <a:xfrm>
                              <a:off x="0" y="0"/>
                              <a:ext cx="993140" cy="1486894"/>
                            </a:xfrm>
                            <a:prstGeom prst="rect">
                              <a:avLst/>
                            </a:prstGeom>
                            <a:solidFill>
                              <a:srgbClr val="1F3864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</wp:posOffset>
                </wp:positionH>
                <wp:positionV relativeFrom="paragraph">
                  <wp:posOffset>9525</wp:posOffset>
                </wp:positionV>
                <wp:extent cx="6238875" cy="1562100"/>
                <wp:effectExtent b="0" l="0" r="0" t="0"/>
                <wp:wrapNone/>
                <wp:docPr id="28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238875" cy="15621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3">
      <w:pPr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639.0" w:type="dxa"/>
        <w:jc w:val="left"/>
        <w:tblInd w:w="-572.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9639"/>
        <w:tblGridChange w:id="0">
          <w:tblGrid>
            <w:gridCol w:w="9639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9">
            <w:pPr>
              <w:rPr>
                <w:b w:val="1"/>
                <w:bCs w:val="1"/>
                <w:color w:val="1f3864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1f3864"/>
                <w:sz w:val="28"/>
                <w:szCs w:val="28"/>
                <w:rtl w:val="0"/>
              </w:rPr>
              <w:t xml:space="preserve">1. Resumen avance Proyecto APT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shd w:fill="d9e2f3" w:val="clear"/>
            <w:vAlign w:val="center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419"/>
                <w:tab w:val="right" w:leader="none" w:pos="8838"/>
              </w:tabs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f3864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f3864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 continuación, encontrarás distintos campos que deberás completar con la información solicitada. </w:t>
            </w:r>
          </w:p>
        </w:tc>
      </w:tr>
    </w:tbl>
    <w:p w:rsidR="00000000" w:rsidDel="00000000" w:rsidP="00000000" w:rsidRDefault="00000000" w:rsidRPr="00000000" w14:paraId="0000000B">
      <w:pPr>
        <w:spacing w:after="0" w:line="240" w:lineRule="auto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0" w:line="240" w:lineRule="auto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639.0" w:type="dxa"/>
        <w:jc w:val="left"/>
        <w:tblInd w:w="-572.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2528"/>
        <w:gridCol w:w="7111"/>
        <w:tblGridChange w:id="0">
          <w:tblGrid>
            <w:gridCol w:w="2528"/>
            <w:gridCol w:w="7111"/>
          </w:tblGrid>
        </w:tblGridChange>
      </w:tblGrid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D">
            <w:pPr>
              <w:rPr>
                <w:rFonts w:ascii="Calibri" w:cs="Calibri" w:eastAsia="Calibri" w:hAnsi="Calibri"/>
                <w:color w:val="1f386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rtl w:val="0"/>
              </w:rPr>
              <w:t xml:space="preserve">Resumen de avance proyecto APT</w:t>
            </w:r>
          </w:p>
        </w:tc>
        <w:tc>
          <w:tcPr/>
          <w:p w:rsidR="00000000" w:rsidDel="00000000" w:rsidP="00000000" w:rsidRDefault="00000000" w:rsidRPr="00000000" w14:paraId="0000000E">
            <w:pPr>
              <w:jc w:val="both"/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En la Fase 2 de Literatus, el equipo consolidó la plataforma Full Stack (Django REST API + Angular 17), logrando la estandarización del catálogo a 5 obras de 5 páginas, la integración del circuito de minijuegos evaluativos con recompensas, el despliegue del motor de IA para 16 avatares con inyección de contexto anti-spoilers, y la validación de QA con 100% de assets en HTTP 200 OK y clics responsivos.</w:t>
            </w:r>
          </w:p>
        </w:tc>
      </w:tr>
      <w:tr>
        <w:trPr>
          <w:cantSplit w:val="0"/>
          <w:trHeight w:val="1247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F">
            <w:pPr>
              <w:rPr>
                <w:rFonts w:ascii="Calibri" w:cs="Calibri" w:eastAsia="Calibri" w:hAnsi="Calibri"/>
                <w:color w:val="1f386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rtl w:val="0"/>
              </w:rPr>
              <w:t xml:space="preserve">Objetivos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0">
            <w:pPr>
              <w:jc w:val="both"/>
              <w:rPr>
                <w:rFonts w:ascii="Calibri" w:cs="Calibri" w:eastAsia="Calibri" w:hAnsi="Calibri"/>
                <w:b w:val="1"/>
                <w:bCs w:val="1"/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No se realizaron ajustes a los objetivos. Se mantiene al 100% la propuesta original: el Objetivo General enfocado en desarrollar la plataforma Full Stack (Django REST + Angular 17) de comprensión lectora con IA gamificada, y los 4 Objetivos Específicos correspondientes a la arquitectura desacoplada, la estandarización del catálogo a 5 obras de 5 páginas, la integración de 16 avatares con inyección de contexto anti-spoilers y la certificación de calidad (QA).</w:t>
            </w:r>
          </w:p>
        </w:tc>
      </w:tr>
      <w:tr>
        <w:trPr>
          <w:cantSplit w:val="0"/>
          <w:trHeight w:val="939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1">
            <w:pPr>
              <w:rPr>
                <w:rFonts w:ascii="Calibri" w:cs="Calibri" w:eastAsia="Calibri" w:hAnsi="Calibri"/>
                <w:color w:val="1f386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rtl w:val="0"/>
              </w:rPr>
              <w:t xml:space="preserve">Metodología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2">
            <w:pPr>
              <w:jc w:val="both"/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No se realizaron ajustes a la metodología. Se mantiene el marco de trabajo ágil iterativo por sprints para el equipo de 2 integrantes, conservando la división de responsabilidades entre Backend/IA/Arquitectura de Datos (modelado ORM, endpoints REST y motor de IA) y Frontend/UI/UX/QA (componentes en Angular 17, motor de minijuegos y pruebas de aseguramiento de calidad).</w:t>
            </w:r>
          </w:p>
        </w:tc>
      </w:tr>
      <w:tr>
        <w:trPr>
          <w:cantSplit w:val="0"/>
          <w:trHeight w:val="2377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3">
            <w:pPr>
              <w:rPr>
                <w:rFonts w:ascii="Calibri" w:cs="Calibri" w:eastAsia="Calibri" w:hAnsi="Calibri"/>
                <w:color w:val="1f386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rtl w:val="0"/>
              </w:rPr>
              <w:t xml:space="preserve">Evidencias de avance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4">
            <w:pPr>
              <w:jc w:val="both"/>
              <w:rPr>
                <w:rFonts w:ascii="Calibri" w:cs="Calibri" w:eastAsia="Calibri" w:hAnsi="Calibri"/>
                <w:b w:val="1"/>
                <w:bCs w:val="1"/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Como evidencias de avance se presentan el repositorio Git de la solución desacoplada Full Stack (Django REST API + Angular 17) con su historial de commits, los scripts de seeding relacional (seed_tres_cerditos.py y seed_specialized_avatars.py) que automatizan la carga del catálogo y avatares, las capturas de red en DevTools que certifican el 100% de respuestas HTTP 200 OK en assets de minijuegos y la calibración porcentual de clics responsivos, y los logs de payloads JSON que comprueban la inyección dinámica de contexto de lectura (current_page y current_text) con guardarraíles anti-spoilers en la IA; resguardando la calidad disciplinar mediante la separación estricta de capas, normalización relacional en 3FN, auditoría de respuestas HTTP y calibración matemática de usabilidad.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5">
            <w:pPr>
              <w:rPr>
                <w:b w:val="1"/>
                <w:bCs w:val="1"/>
                <w:color w:val="1f3864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1f3864"/>
                <w:sz w:val="28"/>
                <w:szCs w:val="28"/>
                <w:rtl w:val="0"/>
              </w:rPr>
              <w:t xml:space="preserve">2. Monitoreo del Plan de Trabajo 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shd w:fill="d9e2f3" w:val="clear"/>
            <w:vAlign w:val="center"/>
          </w:tcPr>
          <w:p w:rsidR="00000000" w:rsidDel="00000000" w:rsidP="00000000" w:rsidRDefault="00000000" w:rsidRPr="00000000" w14:paraId="00000016">
            <w:pPr>
              <w:jc w:val="both"/>
              <w:rPr>
                <w:rFonts w:ascii="Calibri" w:cs="Calibri" w:eastAsia="Calibri" w:hAnsi="Calibri"/>
                <w:color w:val="1f386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rtl w:val="0"/>
              </w:rPr>
              <w:t xml:space="preserve">Examina cuidadosamente tu plan de trabajo, enfocándote especialmente en la columna de estado de avance y ajustes.</w:t>
            </w:r>
          </w:p>
        </w:tc>
      </w:tr>
    </w:tbl>
    <w:p w:rsidR="00000000" w:rsidDel="00000000" w:rsidP="00000000" w:rsidRDefault="00000000" w:rsidRPr="00000000" w14:paraId="00000017">
      <w:pPr>
        <w:spacing w:after="0" w:line="240" w:lineRule="auto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3"/>
        <w:tblpPr w:leftFromText="180" w:rightFromText="180" w:topFromText="0" w:bottomFromText="0" w:vertAnchor="page" w:horzAnchor="margin" w:tblpXSpec="center" w:tblpY="3517"/>
        <w:tblW w:w="10343.000000000002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328"/>
        <w:gridCol w:w="1077"/>
        <w:gridCol w:w="1276"/>
        <w:gridCol w:w="1276"/>
        <w:gridCol w:w="1275"/>
        <w:gridCol w:w="1276"/>
        <w:gridCol w:w="1418"/>
        <w:gridCol w:w="1417"/>
        <w:tblGridChange w:id="0">
          <w:tblGrid>
            <w:gridCol w:w="1328"/>
            <w:gridCol w:w="1077"/>
            <w:gridCol w:w="1276"/>
            <w:gridCol w:w="1276"/>
            <w:gridCol w:w="1275"/>
            <w:gridCol w:w="1276"/>
            <w:gridCol w:w="1418"/>
            <w:gridCol w:w="1417"/>
          </w:tblGrid>
        </w:tblGridChange>
      </w:tblGrid>
      <w:tr>
        <w:trPr>
          <w:cantSplit w:val="0"/>
          <w:trHeight w:val="415" w:hRule="atLeast"/>
          <w:tblHeader w:val="0"/>
        </w:trPr>
        <w:tc>
          <w:tcPr>
            <w:gridSpan w:val="8"/>
            <w:vAlign w:val="center"/>
          </w:tcPr>
          <w:p w:rsidR="00000000" w:rsidDel="00000000" w:rsidP="00000000" w:rsidRDefault="00000000" w:rsidRPr="00000000" w14:paraId="00000018">
            <w:pPr>
              <w:jc w:val="center"/>
              <w:rPr>
                <w:rFonts w:ascii="Calibri" w:cs="Calibri" w:eastAsia="Calibri" w:hAnsi="Calibri"/>
                <w:color w:val="1f386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sz w:val="18"/>
                <w:szCs w:val="18"/>
                <w:rtl w:val="0"/>
              </w:rPr>
              <w:t xml:space="preserve">Plan de Trabajo</w:t>
            </w:r>
          </w:p>
        </w:tc>
      </w:tr>
      <w:tr>
        <w:trPr>
          <w:cantSplit w:val="0"/>
          <w:trHeight w:val="711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0">
            <w:pPr>
              <w:jc w:val="center"/>
              <w:rPr>
                <w:rFonts w:ascii="Calibri" w:cs="Calibri" w:eastAsia="Calibri" w:hAnsi="Calibri"/>
                <w:color w:val="1f386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sz w:val="18"/>
                <w:szCs w:val="18"/>
                <w:rtl w:val="0"/>
              </w:rPr>
              <w:t xml:space="preserve">Competencia o unidades de competencias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1">
            <w:pPr>
              <w:jc w:val="center"/>
              <w:rPr>
                <w:rFonts w:ascii="Calibri" w:cs="Calibri" w:eastAsia="Calibri" w:hAnsi="Calibri"/>
                <w:color w:val="1f386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sz w:val="18"/>
                <w:szCs w:val="18"/>
                <w:rtl w:val="0"/>
              </w:rPr>
              <w:t xml:space="preserve">Actividades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2">
            <w:pPr>
              <w:jc w:val="center"/>
              <w:rPr>
                <w:rFonts w:ascii="Calibri" w:cs="Calibri" w:eastAsia="Calibri" w:hAnsi="Calibri"/>
                <w:color w:val="1f386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sz w:val="18"/>
                <w:szCs w:val="18"/>
                <w:rtl w:val="0"/>
              </w:rPr>
              <w:t xml:space="preserve">Recursos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3">
            <w:pPr>
              <w:jc w:val="center"/>
              <w:rPr>
                <w:rFonts w:ascii="Calibri" w:cs="Calibri" w:eastAsia="Calibri" w:hAnsi="Calibri"/>
                <w:color w:val="1f386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sz w:val="18"/>
                <w:szCs w:val="18"/>
                <w:rtl w:val="0"/>
              </w:rPr>
              <w:t xml:space="preserve">Duración de la actividad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4">
            <w:pPr>
              <w:jc w:val="center"/>
              <w:rPr>
                <w:rFonts w:ascii="Calibri" w:cs="Calibri" w:eastAsia="Calibri" w:hAnsi="Calibri"/>
                <w:color w:val="1f386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sz w:val="18"/>
                <w:szCs w:val="18"/>
                <w:rtl w:val="0"/>
              </w:rPr>
              <w:t xml:space="preserve">Responsable</w:t>
            </w:r>
            <w:r w:rsidDel="00000000" w:rsidR="00000000" w:rsidRPr="00000000">
              <w:rPr>
                <w:rFonts w:ascii="Calibri" w:cs="Calibri" w:eastAsia="Calibri" w:hAnsi="Calibri"/>
                <w:color w:val="1f3864"/>
                <w:sz w:val="18"/>
                <w:szCs w:val="18"/>
                <w:vertAlign w:val="superscript"/>
              </w:rPr>
              <w:footnoteReference w:customMarkFollows="0" w:id="0"/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5">
            <w:pPr>
              <w:jc w:val="center"/>
              <w:rPr>
                <w:rFonts w:ascii="Calibri" w:cs="Calibri" w:eastAsia="Calibri" w:hAnsi="Calibri"/>
                <w:color w:val="1f386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sz w:val="18"/>
                <w:szCs w:val="18"/>
                <w:rtl w:val="0"/>
              </w:rPr>
              <w:t xml:space="preserve">Observaciones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6">
            <w:pPr>
              <w:jc w:val="center"/>
              <w:rPr>
                <w:rFonts w:ascii="Calibri" w:cs="Calibri" w:eastAsia="Calibri" w:hAnsi="Calibri"/>
                <w:color w:val="1f386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sz w:val="18"/>
                <w:szCs w:val="18"/>
                <w:rtl w:val="0"/>
              </w:rPr>
              <w:t xml:space="preserve">Estado de avance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7">
            <w:pPr>
              <w:jc w:val="center"/>
              <w:rPr>
                <w:rFonts w:ascii="Calibri" w:cs="Calibri" w:eastAsia="Calibri" w:hAnsi="Calibri"/>
                <w:color w:val="1f386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sz w:val="18"/>
                <w:szCs w:val="18"/>
                <w:rtl w:val="0"/>
              </w:rPr>
              <w:t xml:space="preserve">Ajustes</w:t>
            </w:r>
          </w:p>
        </w:tc>
      </w:tr>
      <w:tr>
        <w:trPr>
          <w:cantSplit w:val="0"/>
          <w:trHeight w:val="2410" w:hRule="atLeast"/>
          <w:tblHeader w:val="0"/>
        </w:trPr>
        <w:tc>
          <w:tcPr/>
          <w:p w:rsidR="00000000" w:rsidDel="00000000" w:rsidP="00000000" w:rsidRDefault="00000000" w:rsidRPr="00000000" w14:paraId="00000028">
            <w:pPr>
              <w:jc w:val="both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548dd4"/>
                <w:sz w:val="18"/>
                <w:szCs w:val="18"/>
                <w:rtl w:val="0"/>
              </w:rPr>
              <w:t xml:space="preserve">Desarrollo de Soluciones de Software, Construcción de Modelos de Datos, Pruebas de Certificación (QA) y Gestión de Proyectos Informáticos.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9">
            <w:pPr>
              <w:jc w:val="both"/>
              <w:rPr>
                <w:rFonts w:ascii="Calibri" w:cs="Calibri" w:eastAsia="Calibri" w:hAnsi="Calibri"/>
                <w:i w:val="1"/>
                <w:iCs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color w:val="548dd4"/>
                <w:sz w:val="18"/>
                <w:szCs w:val="18"/>
                <w:rtl w:val="0"/>
              </w:rPr>
              <w:t xml:space="preserve">Estandarización de catálogo (5 obras), desarrollo de UI en Angular 17, integración de motor de IA (16 avatares), pruebas de QA y circuito de minijuegos evaluativos.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A">
            <w:pPr>
              <w:jc w:val="both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color w:val="548dd4"/>
                <w:sz w:val="18"/>
                <w:szCs w:val="18"/>
                <w:rtl w:val="0"/>
              </w:rPr>
              <w:t xml:space="preserve">Django REST, Angular 17, Google GenAI SDK, DevTools y Git.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B">
            <w:pPr>
              <w:jc w:val="both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548dd4"/>
                <w:sz w:val="18"/>
                <w:szCs w:val="18"/>
                <w:rtl w:val="0"/>
              </w:rPr>
              <w:t xml:space="preserve">1 a 3 semanas por actividad.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C">
            <w:pPr>
              <w:jc w:val="both"/>
              <w:rPr>
                <w:rFonts w:ascii="Calibri" w:cs="Calibri" w:eastAsia="Calibri" w:hAnsi="Calibri"/>
                <w:i w:val="1"/>
                <w:iCs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548dd4"/>
                <w:sz w:val="18"/>
                <w:szCs w:val="18"/>
                <w:rtl w:val="0"/>
              </w:rPr>
              <w:t xml:space="preserve">Gonzalo  (Backend/IA) </w:t>
            </w:r>
          </w:p>
          <w:p w:rsidR="00000000" w:rsidDel="00000000" w:rsidP="00000000" w:rsidRDefault="00000000" w:rsidRPr="00000000" w14:paraId="0000002D">
            <w:pPr>
              <w:jc w:val="both"/>
              <w:rPr>
                <w:rFonts w:ascii="Calibri" w:cs="Calibri" w:eastAsia="Calibri" w:hAnsi="Calibri"/>
                <w:i w:val="1"/>
                <w:iCs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548dd4"/>
                <w:sz w:val="18"/>
                <w:szCs w:val="18"/>
                <w:rtl w:val="0"/>
              </w:rPr>
              <w:t xml:space="preserve">José: (Frontend/QA).</w:t>
            </w:r>
          </w:p>
        </w:tc>
        <w:tc>
          <w:tcPr/>
          <w:p w:rsidR="00000000" w:rsidDel="00000000" w:rsidP="00000000" w:rsidRDefault="00000000" w:rsidRPr="00000000" w14:paraId="0000002E">
            <w:pPr>
              <w:jc w:val="both"/>
              <w:rPr>
                <w:rFonts w:ascii="Calibri" w:cs="Calibri" w:eastAsia="Calibri" w:hAnsi="Calibri"/>
                <w:i w:val="1"/>
                <w:iCs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548dd4"/>
                <w:sz w:val="18"/>
                <w:szCs w:val="18"/>
                <w:rtl w:val="0"/>
              </w:rPr>
              <w:t xml:space="preserve">Facilidad en seeding; ajuste de guardarraíles de IA y corrección de assets 404 y clics canvas.</w:t>
            </w:r>
          </w:p>
        </w:tc>
        <w:tc>
          <w:tcPr/>
          <w:p w:rsidR="00000000" w:rsidDel="00000000" w:rsidP="00000000" w:rsidRDefault="00000000" w:rsidRPr="00000000" w14:paraId="0000002F">
            <w:pPr>
              <w:jc w:val="both"/>
              <w:rPr>
                <w:rFonts w:ascii="Calibri" w:cs="Calibri" w:eastAsia="Calibri" w:hAnsi="Calibri"/>
                <w:i w:val="1"/>
                <w:iCs w:val="1"/>
                <w:color w:val="c00000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548dd4"/>
                <w:sz w:val="18"/>
                <w:szCs w:val="18"/>
                <w:rtl w:val="0"/>
              </w:rPr>
              <w:t xml:space="preserve">Completado / Ajustada / En curso.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0">
            <w:pPr>
              <w:jc w:val="both"/>
              <w:rPr>
                <w:rFonts w:ascii="Calibri" w:cs="Calibri" w:eastAsia="Calibri" w:hAnsi="Calibri"/>
                <w:i w:val="1"/>
                <w:iCs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548dd4"/>
                <w:sz w:val="18"/>
                <w:szCs w:val="18"/>
                <w:rtl w:val="0"/>
              </w:rPr>
              <w:t xml:space="preserve">nyección dinámica de contexto REST (current_page/current_text) y fórmulas de clics porcentuales.</w:t>
            </w:r>
          </w:p>
        </w:tc>
      </w:tr>
    </w:tbl>
    <w:p w:rsidR="00000000" w:rsidDel="00000000" w:rsidP="00000000" w:rsidRDefault="00000000" w:rsidRPr="00000000" w14:paraId="00000031">
      <w:pPr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9498.0" w:type="dxa"/>
        <w:jc w:val="left"/>
        <w:tblInd w:w="-572.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9498"/>
        <w:tblGridChange w:id="0">
          <w:tblGrid>
            <w:gridCol w:w="9498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2">
            <w:pPr>
              <w:rPr>
                <w:b w:val="1"/>
                <w:bCs w:val="1"/>
                <w:color w:val="1f3864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1f3864"/>
                <w:sz w:val="28"/>
                <w:szCs w:val="28"/>
                <w:rtl w:val="0"/>
              </w:rPr>
              <w:t xml:space="preserve">3. Ajustes a partir del monitoreo 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shd w:fill="d9e2f3" w:val="clear"/>
            <w:vAlign w:val="center"/>
          </w:tcPr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419"/>
                <w:tab w:val="right" w:leader="none" w:pos="8838"/>
              </w:tabs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f3864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f3864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Profundiza en las observaciones de tu plan de trabajo. Analiza las actividades planificadas y señala qué aspectos facilitaron u obstaculizaron la ejecución del plan. Plantea cómo abordaste y/o abordarás los obstáculos. Por último, señala los ajustes que realizaste al plan de trabajo a partir de este análisis.</w:t>
            </w:r>
          </w:p>
        </w:tc>
      </w:tr>
    </w:tbl>
    <w:p w:rsidR="00000000" w:rsidDel="00000000" w:rsidP="00000000" w:rsidRDefault="00000000" w:rsidRPr="00000000" w14:paraId="00000034">
      <w:pPr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5"/>
        <w:tblpPr w:leftFromText="180" w:rightFromText="180" w:topFromText="0" w:bottomFromText="0" w:vertAnchor="text" w:horzAnchor="text" w:tblpX="-572" w:tblpY="1"/>
        <w:tblW w:w="949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9496"/>
        <w:tblGridChange w:id="0">
          <w:tblGrid>
            <w:gridCol w:w="9496"/>
          </w:tblGrid>
        </w:tblGridChange>
      </w:tblGrid>
      <w:tr>
        <w:trPr>
          <w:cantSplit w:val="0"/>
          <w:trHeight w:val="1936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5">
            <w:pPr>
              <w:rPr>
                <w:rFonts w:ascii="Calibri" w:cs="Calibri" w:eastAsia="Calibri" w:hAnsi="Calibri"/>
                <w:color w:val="1f3864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3864"/>
                <w:sz w:val="20"/>
                <w:szCs w:val="20"/>
                <w:rtl w:val="0"/>
              </w:rPr>
              <w:t xml:space="preserve">Factores que han facilitado y/o dificultado el desarrollo de mi plan de trabajo:</w:t>
            </w:r>
            <w:r w:rsidDel="00000000" w:rsidR="00000000" w:rsidRPr="00000000">
              <w:rPr>
                <w:rFonts w:ascii="Calibri" w:cs="Calibri" w:eastAsia="Calibri" w:hAnsi="Calibri"/>
                <w:color w:val="1f3864"/>
                <w:sz w:val="20"/>
                <w:szCs w:val="20"/>
                <w:rtl w:val="0"/>
              </w:rPr>
              <w:t xml:space="preserve"> El desarrollo del proyecto fue facilitado por la adopción de una arquitectura web desacoplada (Django REST API y Angular 17) y la automatización del catálogo mediante scripts de </w:t>
            </w: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1f3864"/>
                <w:sz w:val="20"/>
                <w:szCs w:val="20"/>
                <w:rtl w:val="0"/>
              </w:rPr>
              <w:t xml:space="preserve">seeding</w:t>
            </w:r>
            <w:r w:rsidDel="00000000" w:rsidR="00000000" w:rsidRPr="00000000">
              <w:rPr>
                <w:rFonts w:ascii="Calibri" w:cs="Calibri" w:eastAsia="Calibri" w:hAnsi="Calibri"/>
                <w:color w:val="1f3864"/>
                <w:sz w:val="20"/>
                <w:szCs w:val="20"/>
                <w:rtl w:val="0"/>
              </w:rPr>
              <w:t xml:space="preserve"> relacional (seed_tres_cerditos.py). No obstante, se presentaron dificultades técnicas como el riesgo de </w:t>
            </w: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1f3864"/>
                <w:sz w:val="20"/>
                <w:szCs w:val="20"/>
                <w:rtl w:val="0"/>
              </w:rPr>
              <w:t xml:space="preserve">spoilers</w:t>
            </w:r>
            <w:r w:rsidDel="00000000" w:rsidR="00000000" w:rsidRPr="00000000">
              <w:rPr>
                <w:rFonts w:ascii="Calibri" w:cs="Calibri" w:eastAsia="Calibri" w:hAnsi="Calibri"/>
                <w:color w:val="1f3864"/>
                <w:sz w:val="20"/>
                <w:szCs w:val="20"/>
                <w:rtl w:val="0"/>
              </w:rPr>
              <w:t xml:space="preserve"> e incoherencias en las respuestas de la IA, errores HTTP 404 en assets estáticos de minijuegos y el descalibre de clics en pantallas de distintas resoluciones. Estas complicaciones se solucionaron reformulando el contrato REST para inyectar dinámicamente el contexto de lectura (current_page y current_text) con guardarraíles de género, saneando la base de datos hasta certificar un 100% de respuestas HTTP 200 OK, y migrando el cálculo del lienzo canvas a ecuaciones de posición porcentual relativa (offsetX / clientWidth) * 100. </w:t>
            </w:r>
          </w:p>
          <w:p w:rsidR="00000000" w:rsidDel="00000000" w:rsidP="00000000" w:rsidRDefault="00000000" w:rsidRPr="00000000" w14:paraId="00000036">
            <w:pPr>
              <w:jc w:val="both"/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7">
      <w:pPr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6"/>
        <w:tblpPr w:leftFromText="180" w:rightFromText="180" w:topFromText="0" w:bottomFromText="0" w:vertAnchor="text" w:horzAnchor="text" w:tblpX="-572" w:tblpY="107"/>
        <w:tblW w:w="9493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9493"/>
        <w:tblGridChange w:id="0">
          <w:tblGrid>
            <w:gridCol w:w="9493"/>
          </w:tblGrid>
        </w:tblGridChange>
      </w:tblGrid>
      <w:tr>
        <w:trPr>
          <w:cantSplit w:val="0"/>
          <w:trHeight w:val="1936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8">
            <w:pPr>
              <w:jc w:val="both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rtl w:val="0"/>
              </w:rPr>
              <w:t xml:space="preserve">Actividades ajustadas o eliminadas: </w:t>
            </w:r>
            <w:r w:rsidDel="00000000" w:rsidR="00000000" w:rsidRPr="00000000">
              <w:rPr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39">
            <w:pPr>
              <w:jc w:val="both"/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No se eliminó ninguna actividad propuesta, preservando el 100% del alcance del proyecto. Únicamente se aplicaron tres ajustes técnicos de refinamiento: 1) modificación del contrato REST para inyectar dinámicamente el contexto de lectura (current_page y current_text) con guardarraíles anti-spoilers y de género en los 16 avatares; 2) corrección de rutas en la base de datos para erradicar respuestas HTTP 404 en assets de minijuegos; y 3) migración de las coordenadas del canvas a fórmulas de posición porcentual relativa (offsetX / clientWidth) * 100. Estos ajustes se justifican en la necesidad de garantizar la usabilidad responsiva y la precisión pedagógica de la plataforma sin alterar el cronograma general.</w:t>
            </w:r>
          </w:p>
        </w:tc>
      </w:tr>
    </w:tbl>
    <w:p w:rsidR="00000000" w:rsidDel="00000000" w:rsidP="00000000" w:rsidRDefault="00000000" w:rsidRPr="00000000" w14:paraId="0000003A">
      <w:pPr>
        <w:spacing w:after="0" w:line="240" w:lineRule="auto"/>
        <w:jc w:val="both"/>
        <w:rPr>
          <w:rFonts w:ascii="Calibri" w:cs="Calibri" w:eastAsia="Calibri" w:hAnsi="Calibri"/>
          <w:i w:val="1"/>
          <w:iCs w:val="1"/>
          <w:color w:val="548dd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0" w:line="240" w:lineRule="auto"/>
        <w:jc w:val="both"/>
        <w:rPr>
          <w:rFonts w:ascii="Calibri" w:cs="Calibri" w:eastAsia="Calibri" w:hAnsi="Calibri"/>
          <w:i w:val="1"/>
          <w:iCs w:val="1"/>
          <w:color w:val="548dd4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7"/>
        <w:tblW w:w="9498.0" w:type="dxa"/>
        <w:jc w:val="left"/>
        <w:tblInd w:w="-572.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9498"/>
        <w:tblGridChange w:id="0">
          <w:tblGrid>
            <w:gridCol w:w="9498"/>
          </w:tblGrid>
        </w:tblGridChange>
      </w:tblGrid>
      <w:tr>
        <w:trPr>
          <w:cantSplit w:val="0"/>
          <w:trHeight w:val="1966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C">
            <w:pPr>
              <w:jc w:val="both"/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rtl w:val="0"/>
              </w:rPr>
              <w:t xml:space="preserve">Actividades que no has iniciado o están retrasadas:</w:t>
            </w: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3D">
            <w:pPr>
              <w:jc w:val="both"/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No existen actividades no iniciadas ni retrasadas en el plan de trabajo. Todas las tareas contempladas se encuentran en estado Completado, Ajustada o En curso respetando los plazos previstos. El cumplimiento riguroso del cronograma ha sido posible gracias a la metodología ágil por sprints, la división clara de roles entre ambos integrantes del equipo y la pronta resolución de los ajustes técnicos identificados durante las pruebas.</w:t>
            </w:r>
          </w:p>
          <w:p w:rsidR="00000000" w:rsidDel="00000000" w:rsidP="00000000" w:rsidRDefault="00000000" w:rsidRPr="00000000" w14:paraId="0000003E">
            <w:pPr>
              <w:jc w:val="both"/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sectPr>
      <w:headerReference r:id="rId9" w:type="default"/>
      <w:pgSz w:h="16838" w:w="11906" w:orient="portrait"/>
      <w:pgMar w:bottom="1417" w:top="1417" w:left="1701" w:right="170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Century Gothic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notes.xml><?xml version="1.0" encoding="utf-8"?>
<w:footnot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otnote w:id="0"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595959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595959"/>
          <w:sz w:val="20"/>
          <w:szCs w:val="20"/>
          <w:u w:val="none"/>
          <w:shd w:fill="auto" w:val="clear"/>
          <w:vertAlign w:val="baseline"/>
          <w:rtl w:val="0"/>
        </w:rPr>
        <w:t xml:space="preserve"> En caso de que el Proyecto APT sea grupal, en esta columna deben indicar el nombre de los responsables de cada tarea o actividad. Esto posteriormente permitirá diferenciar la evaluación por cada integrante.</w:t>
      </w:r>
    </w:p>
  </w:footnote>
</w:footnote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1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595959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8"/>
      <w:tblW w:w="10170.0" w:type="dxa"/>
      <w:jc w:val="left"/>
      <w:tblInd w:w="-709.0" w:type="dxa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5954"/>
      <w:gridCol w:w="4216"/>
      <w:tblGridChange w:id="0">
        <w:tblGrid>
          <w:gridCol w:w="5954"/>
          <w:gridCol w:w="4216"/>
        </w:tblGrid>
      </w:tblGridChange>
    </w:tblGrid>
    <w:tr>
      <w:trPr>
        <w:cantSplit w:val="0"/>
        <w:trHeight w:val="697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42">
          <w:pPr>
            <w:spacing w:after="0" w:lineRule="auto"/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Guía Estudiante - Desarrollo Proyecto APT </w:t>
          </w:r>
        </w:p>
        <w:p w:rsidR="00000000" w:rsidDel="00000000" w:rsidP="00000000" w:rsidRDefault="00000000" w:rsidRPr="00000000" w14:paraId="00000043">
          <w:pPr>
            <w:spacing w:after="0" w:lineRule="auto"/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Fase 2</w:t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44">
          <w:pPr>
            <w:jc w:val="center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/>
            <w:drawing>
              <wp:inline distB="0" distT="0" distL="0" distR="0">
                <wp:extent cx="1996440" cy="428625"/>
                <wp:effectExtent b="0" l="0" r="0" t="0"/>
                <wp:docPr descr="http://www.duoc.cl/normasgraficas/normasgraficas/marca-duoc/6logo-fondo-transparente/fondo-transparente.png" id="29" name="image1.png"/>
                <a:graphic>
                  <a:graphicData uri="http://schemas.openxmlformats.org/drawingml/2006/picture">
                    <pic:pic>
                      <pic:nvPicPr>
                        <pic:cNvPr descr="http://www.duoc.cl/normasgraficas/normasgraficas/marca-duoc/6logo-fondo-transparente/fondo-transparente.png" id="0" name="image1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96440" cy="4286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45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L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1f3863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character" w:styleId="Fuentedeprrafopredeter" w:default="1">
    <w:name w:val="Default Paragraph Font"/>
    <w:uiPriority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character" w:styleId="Ttulo3Car" w:customStyle="1">
    <w:name w:val="Título 3 Car"/>
    <w:basedOn w:val="Fuentedeprrafopredeter"/>
    <w:link w:val="Ttulo3"/>
    <w:uiPriority w:val="9"/>
    <w:rsid w:val="0003309E"/>
    <w:rPr>
      <w:rFonts w:asciiTheme="majorHAnsi" w:cstheme="majorBidi" w:eastAsiaTheme="majorEastAsia" w:hAnsiTheme="majorHAnsi"/>
      <w:color w:val="1f3763" w:themeColor="accent1" w:themeShade="00007F"/>
    </w:rPr>
  </w:style>
  <w:style w:type="table" w:styleId="Tablaconcuadrcula">
    <w:name w:val="Table Grid"/>
    <w:basedOn w:val="Tablanormal"/>
    <w:uiPriority w:val="39"/>
    <w:rsid w:val="0003309E"/>
    <w:rPr>
      <w:sz w:val="22"/>
      <w:szCs w:val="22"/>
    </w:r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Piedepgina">
    <w:name w:val="footer"/>
    <w:basedOn w:val="Normal"/>
    <w:link w:val="PiedepginaCar"/>
    <w:uiPriority w:val="99"/>
    <w:unhideWhenUsed w:val="1"/>
    <w:rsid w:val="0003309E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03309E"/>
    <w:rPr>
      <w:sz w:val="22"/>
      <w:szCs w:val="22"/>
    </w:rPr>
  </w:style>
  <w:style w:type="paragraph" w:styleId="Textonotapie">
    <w:name w:val="footnote text"/>
    <w:basedOn w:val="Normal"/>
    <w:link w:val="TextonotapieCar"/>
    <w:uiPriority w:val="99"/>
    <w:semiHidden w:val="1"/>
    <w:unhideWhenUsed w:val="1"/>
    <w:rsid w:val="0003309E"/>
    <w:pPr>
      <w:spacing w:after="0" w:line="240" w:lineRule="auto"/>
    </w:pPr>
    <w:rPr>
      <w:sz w:val="20"/>
      <w:szCs w:val="20"/>
      <w:lang w:val="es-ES"/>
    </w:rPr>
  </w:style>
  <w:style w:type="character" w:styleId="TextonotapieCar" w:customStyle="1">
    <w:name w:val="Texto nota pie Car"/>
    <w:basedOn w:val="Fuentedeprrafopredeter"/>
    <w:link w:val="Textonotapie"/>
    <w:uiPriority w:val="99"/>
    <w:semiHidden w:val="1"/>
    <w:rsid w:val="0003309E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 w:val="1"/>
    <w:rsid w:val="0003309E"/>
    <w:rPr>
      <w:vertAlign w:val="superscript"/>
    </w:rPr>
  </w:style>
  <w:style w:type="paragraph" w:styleId="Encabezado">
    <w:name w:val="header"/>
    <w:basedOn w:val="Normal"/>
    <w:link w:val="EncabezadoCar"/>
    <w:uiPriority w:val="99"/>
    <w:unhideWhenUsed w:val="1"/>
    <w:rsid w:val="00586C9C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uiPriority w:val="99"/>
    <w:rsid w:val="00586C9C"/>
    <w:rPr>
      <w:sz w:val="22"/>
      <w:szCs w:val="22"/>
    </w:rPr>
  </w:style>
  <w:style w:type="table" w:styleId="Tablaconcuadrcula1" w:customStyle="1">
    <w:name w:val="Tabla con cuadrícula1"/>
    <w:basedOn w:val="Tablanormal"/>
    <w:next w:val="Tablaconcuadrcula"/>
    <w:uiPriority w:val="39"/>
    <w:rsid w:val="00C44557"/>
    <w:rPr>
      <w:sz w:val="22"/>
      <w:szCs w:val="22"/>
    </w:r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Textodeglobo">
    <w:name w:val="Balloon Text"/>
    <w:basedOn w:val="Normal"/>
    <w:link w:val="TextodegloboCar"/>
    <w:uiPriority w:val="99"/>
    <w:semiHidden w:val="1"/>
    <w:unhideWhenUsed w:val="1"/>
    <w:rsid w:val="00C5122E"/>
    <w:pPr>
      <w:spacing w:after="0" w:line="240" w:lineRule="auto"/>
    </w:pPr>
    <w:rPr>
      <w:rFonts w:ascii="Segoe UI" w:cs="Segoe UI" w:hAnsi="Segoe UI"/>
      <w:sz w:val="18"/>
      <w:szCs w:val="18"/>
    </w:rPr>
  </w:style>
  <w:style w:type="character" w:styleId="TextodegloboCar" w:customStyle="1">
    <w:name w:val="Texto de globo Car"/>
    <w:basedOn w:val="Fuentedeprrafopredeter"/>
    <w:link w:val="Textodeglobo"/>
    <w:uiPriority w:val="99"/>
    <w:semiHidden w:val="1"/>
    <w:rsid w:val="00C5122E"/>
    <w:rPr>
      <w:rFonts w:ascii="Segoe UI" w:cs="Segoe UI" w:hAnsi="Segoe UI"/>
      <w:sz w:val="18"/>
      <w:szCs w:val="18"/>
    </w:rPr>
  </w:style>
  <w:style w:type="character" w:styleId="Refdecomentario">
    <w:name w:val="annotation reference"/>
    <w:basedOn w:val="Fuentedeprrafopredeter"/>
    <w:uiPriority w:val="99"/>
    <w:semiHidden w:val="1"/>
    <w:unhideWhenUsed w:val="1"/>
    <w:rsid w:val="009E52DF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 w:val="1"/>
    <w:unhideWhenUsed w:val="1"/>
    <w:rsid w:val="009E52DF"/>
    <w:pPr>
      <w:spacing w:line="240" w:lineRule="auto"/>
    </w:pPr>
    <w:rPr>
      <w:sz w:val="20"/>
      <w:szCs w:val="20"/>
    </w:rPr>
  </w:style>
  <w:style w:type="character" w:styleId="TextocomentarioCar" w:customStyle="1">
    <w:name w:val="Texto comentario Car"/>
    <w:basedOn w:val="Fuentedeprrafopredeter"/>
    <w:link w:val="Textocomentario"/>
    <w:uiPriority w:val="99"/>
    <w:semiHidden w:val="1"/>
    <w:rsid w:val="009E52DF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 w:val="1"/>
    <w:unhideWhenUsed w:val="1"/>
    <w:rsid w:val="009E52DF"/>
    <w:rPr>
      <w:b w:val="1"/>
      <w:bCs w:val="1"/>
    </w:rPr>
  </w:style>
  <w:style w:type="character" w:styleId="AsuntodelcomentarioCar" w:customStyle="1">
    <w:name w:val="Asunto del comentario Car"/>
    <w:basedOn w:val="TextocomentarioCar"/>
    <w:link w:val="Asuntodelcomentario"/>
    <w:uiPriority w:val="99"/>
    <w:semiHidden w:val="1"/>
    <w:rsid w:val="009E52DF"/>
    <w:rPr>
      <w:b w:val="1"/>
      <w:bCs w:val="1"/>
      <w:sz w:val="20"/>
      <w:szCs w:val="2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header" Target="header1.xml"/><Relationship Id="rId5" Type="http://schemas.openxmlformats.org/officeDocument/2006/relationships/numbering" Target="numbering.xml"/><Relationship Id="rId6" Type="http://schemas.openxmlformats.org/officeDocument/2006/relationships/styles" Target="styles.xml"/><Relationship Id="rId7" Type="http://schemas.openxmlformats.org/officeDocument/2006/relationships/customXml" Target="../customXML/item1.xml"/><Relationship Id="rId8" Type="http://schemas.openxmlformats.org/officeDocument/2006/relationships/image" Target="media/image2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enturyGothic-regular.ttf"/><Relationship Id="rId2" Type="http://schemas.openxmlformats.org/officeDocument/2006/relationships/font" Target="fonts/CenturyGothic-bold.ttf"/><Relationship Id="rId3" Type="http://schemas.openxmlformats.org/officeDocument/2006/relationships/font" Target="fonts/CenturyGothic-italic.ttf"/><Relationship Id="rId4" Type="http://schemas.openxmlformats.org/officeDocument/2006/relationships/font" Target="fonts/CenturyGothic-boldItalic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HF46cI435RMz/qlKCYSVYuBs3fg==">CgMxLjA4AHIhMVNnQ0tuVmFQR3lhQW16eWRGLWUyQmRMcTlsbEdSdHJl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2022-08-24T18:14:00Z</dcterms:created>
  <dc:creator>Cecilia Godoy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0x010100E96778489EE7714D8BD12CC105EB918B</vt:lpwstr>
  </property>
</Properties>
</file>