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88B86" w14:textId="3D238A3C" w:rsidR="00E23C96" w:rsidRPr="002A277F" w:rsidRDefault="00E23C96" w:rsidP="008244B4">
      <w:pPr>
        <w:jc w:val="both"/>
        <w:rPr>
          <w:rFonts w:ascii="Times New Roman" w:hAnsi="Times New Roman" w:cs="Times New Roman"/>
          <w:noProof/>
          <w:sz w:val="28"/>
          <w:szCs w:val="28"/>
        </w:rPr>
      </w:pPr>
      <w:r w:rsidRPr="002A277F">
        <w:rPr>
          <w:rFonts w:ascii="Times New Roman" w:hAnsi="Times New Roman" w:cs="Times New Roman"/>
          <w:noProof/>
          <w:sz w:val="28"/>
          <w:szCs w:val="28"/>
        </w:rPr>
        <w:t>Oil nears $92 as Hormuz escalation offsets Venezuela supply hopes</w:t>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xml:space="preserve"/>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xml:space="preserve"/>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xml:space="preserve"/>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xml:space="preserve"/>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xml:space="preserve"/>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w:r>
    </w:p>
    <w:p w14:paraId="73CD4D51" w14:textId="1145227B" w:rsidR="008244B4" w:rsidRPr="008244B4" w:rsidRDefault="008244B4" w:rsidP="008244B4">
      <w:pPr>
        <w:jc w:val="both"/>
        <w:rPr>
          <w:rFonts w:ascii="Times New Roman" w:hAnsi="Times New Roman" w:cs="Times New Roman"/>
          <w:noProof/>
        </w:rPr>
      </w:pPr>
      <w:r w:rsidRPr="008244B4">
        <w:rPr>
          <w:rFonts w:ascii="Times New Roman" w:hAnsi="Times New Roman" w:cs="Times New Roman"/>
          <w:noProof/>
        </w:rPr>
        <w:t>Oil rose for a second session as renewed US-Iran hostilities increased the risk of prolonged disruption through the Strait of Hormuz. Brent for November advanced 1.1% to $91.51/bbl, while WTI rose 1.4% to $86.99/bbl after posting its largest gain in three weeks on Monday. US forces struck an island in Hormuz and Iran retaliated with attacks directed at the United Arab Emirates and Jordan. A tanker also reported being hit by three unidentified projectiles while sailing outbound near Oman, although there were no casualties or environmental damage. With officials on both sides expecting the conflict to last for months, the market is rebuilding a geopolitical premium.</w:t>
      </w:r>
    </w:p>
    <w:p w14:paraId="261C1CDB" w14:textId="01EF48F6" w:rsidR="008244B4" w:rsidRPr="008244B4" w:rsidRDefault="008244B4" w:rsidP="008244B4">
      <w:pPr>
        <w:jc w:val="both"/>
        <w:rPr>
          <w:rFonts w:ascii="Times New Roman" w:hAnsi="Times New Roman" w:cs="Times New Roman"/>
          <w:noProof/>
        </w:rPr>
      </w:pPr>
      <w:r w:rsidRPr="008244B4">
        <w:rPr>
          <w:rFonts w:ascii="Times New Roman" w:hAnsi="Times New Roman" w:cs="Times New Roman"/>
          <w:noProof/>
        </w:rPr>
        <w:t>The White House has now clarified the structure of its oil agreement with Venezuela. North American Blue Energy Partners, or NABEP, received 100-year concessions over 17 fields holding about 65 billion barrels of proven reserves. The Pentagon's Office of Strategic Capital will own 35% of NABEP's corporate parent, while the State Department can purchase 20% of current and future production at cost and has a right of first refusal over the remaining 80%. Washington also has veto power over board appointments, and a majority of directors must be US citizens. The arrangement therefore gives the US extensive commercial and governance rights without requiring direct taxpayer funding.</w:t>
      </w:r>
      <w:r w:rsidR="00FA7E57">
        <w:rPr>
          <w:rFonts w:ascii="Times New Roman" w:hAnsi="Times New Roman" w:cs="Times New Roman"/>
          <w:noProof/>
        </w:rPr>
        <w:t xml:space="preserve"/>
      </w:r>
      <w:r w:rsidRPr="008244B4">
        <w:rPr>
          <w:rFonts w:ascii="Times New Roman" w:hAnsi="Times New Roman" w:cs="Times New Roman"/>
          <w:noProof/>
        </w:rPr>
        <w:t xml:space="preserve"/>
      </w:r>
    </w:p>
    <w:p w14:paraId="1F8BBDED" w14:textId="70E22645" w:rsidR="008244B4" w:rsidRPr="008244B4" w:rsidRDefault="008244B4" w:rsidP="008244B4">
      <w:pPr>
        <w:jc w:val="both"/>
        <w:rPr>
          <w:rFonts w:ascii="Times New Roman" w:hAnsi="Times New Roman" w:cs="Times New Roman"/>
          <w:noProof/>
        </w:rPr>
      </w:pPr>
      <w:r w:rsidRPr="008244B4">
        <w:rPr>
          <w:rFonts w:ascii="Times New Roman" w:hAnsi="Times New Roman" w:cs="Times New Roman"/>
          <w:noProof/>
        </w:rPr>
        <w:t>The longer-term supply potential is substantial, but the timetable is highly uncertain. NABEP plans to invest up to $100 billion and lift its Venezuelan operations above 1 mb/d, close to the country's entire current output of about 1.1 mb/d. Decades of underinvestment, damaged pipelines and political risk make a rapid increase unlikely. If production does rise, the barrels could refill the US Strategic Petroleum Reserve, support US refiners and reduce Russian and Chinese influence in the region. Venezuela is also considering leaving OPEC following the United Arab Emirates' announced departure. That would not materially change supply immediately, but it could further weaken the group's cohesion and Saudi-led market management.</w:t>
      </w:r>
    </w:p>
    <w:p w14:paraId="4F01E1B2" w14:textId="34472E24" w:rsidR="008244B4" w:rsidRPr="008244B4" w:rsidRDefault="008244B4" w:rsidP="008244B4">
      <w:pPr>
        <w:jc w:val="both"/>
        <w:rPr>
          <w:rFonts w:ascii="Times New Roman" w:hAnsi="Times New Roman" w:cs="Times New Roman"/>
          <w:noProof/>
        </w:rPr>
      </w:pPr>
      <w:r w:rsidRPr="008244B4">
        <w:rPr>
          <w:rFonts w:ascii="Times New Roman" w:hAnsi="Times New Roman" w:cs="Times New Roman"/>
          <w:noProof/>
        </w:rPr>
        <w:t>There is some relief on refined products, although the market remains tight. Adnoc has restored its 922 kb/d Ruwais refinery to full capacity and product exports have recovered to about 70% of their pre-war level. For the Persian Gulf as a whole, however, Goldman Sachs estimates that crude exports have returned to 70-80% of pre-war levels while product shipments remain at only around 40%. Global refinery outages are still running 60% above seasonal norms, and Russia has extended its diesel export ban through September. The resulting diesel squeeze remains a near-term bullish counterweight to the potentially bearish Venezuelan supply story.</w:t>
      </w:r>
      <w:r w:rsidR="00554C99">
        <w:rPr>
          <w:rFonts w:ascii="Times New Roman" w:hAnsi="Times New Roman" w:cs="Times New Roman"/>
          <w:noProof/>
        </w:rPr>
        <w:t xml:space="preserve"/>
      </w:r>
      <w:r w:rsidRPr="008244B4">
        <w:rPr>
          <w:rFonts w:ascii="Times New Roman" w:hAnsi="Times New Roman" w:cs="Times New Roman"/>
          <w:noProof/>
        </w:rPr>
        <w:t/>
      </w:r>
    </w:p>
    <w:p w14:paraId="7C28C270" w14:textId="1713680E" w:rsidR="00651060" w:rsidRPr="008244B4" w:rsidRDefault="00651060" w:rsidP="008244B4">
      <w:pPr>
        <w:jc w:val="both"/>
      </w:pPr>
    </w:p>
    <w:sectPr w:rsidR="00651060" w:rsidRPr="008244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B22"/>
    <w:multiLevelType w:val="multilevel"/>
    <w:tmpl w:val="AE48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406C3"/>
    <w:multiLevelType w:val="multilevel"/>
    <w:tmpl w:val="3928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D4AEA"/>
    <w:multiLevelType w:val="multilevel"/>
    <w:tmpl w:val="58A2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72B2A"/>
    <w:multiLevelType w:val="multilevel"/>
    <w:tmpl w:val="25C4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925D0"/>
    <w:multiLevelType w:val="multilevel"/>
    <w:tmpl w:val="C8D0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D6121A"/>
    <w:multiLevelType w:val="multilevel"/>
    <w:tmpl w:val="3A6E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7B4D7D"/>
    <w:multiLevelType w:val="multilevel"/>
    <w:tmpl w:val="092C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0A5410"/>
    <w:multiLevelType w:val="multilevel"/>
    <w:tmpl w:val="4EFC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806498">
    <w:abstractNumId w:val="2"/>
  </w:num>
  <w:num w:numId="2" w16cid:durableId="268898668">
    <w:abstractNumId w:val="6"/>
  </w:num>
  <w:num w:numId="3" w16cid:durableId="91517539">
    <w:abstractNumId w:val="7"/>
  </w:num>
  <w:num w:numId="4" w16cid:durableId="12802284">
    <w:abstractNumId w:val="1"/>
  </w:num>
  <w:num w:numId="5" w16cid:durableId="1010838715">
    <w:abstractNumId w:val="4"/>
  </w:num>
  <w:num w:numId="6" w16cid:durableId="1788088530">
    <w:abstractNumId w:val="5"/>
  </w:num>
  <w:num w:numId="7" w16cid:durableId="1064258445">
    <w:abstractNumId w:val="0"/>
  </w:num>
  <w:num w:numId="8" w16cid:durableId="9239498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ECB"/>
    <w:rsid w:val="00097214"/>
    <w:rsid w:val="000E6CA1"/>
    <w:rsid w:val="001B73A0"/>
    <w:rsid w:val="002A277F"/>
    <w:rsid w:val="002B4A56"/>
    <w:rsid w:val="002C1E50"/>
    <w:rsid w:val="003C2D46"/>
    <w:rsid w:val="004B4BBF"/>
    <w:rsid w:val="00554C99"/>
    <w:rsid w:val="00651060"/>
    <w:rsid w:val="00802444"/>
    <w:rsid w:val="008244B4"/>
    <w:rsid w:val="008A435B"/>
    <w:rsid w:val="00984453"/>
    <w:rsid w:val="00A2459F"/>
    <w:rsid w:val="00A66889"/>
    <w:rsid w:val="00B72ECB"/>
    <w:rsid w:val="00CB5757"/>
    <w:rsid w:val="00D35344"/>
    <w:rsid w:val="00E23C96"/>
    <w:rsid w:val="00E35233"/>
    <w:rsid w:val="00EA706E"/>
    <w:rsid w:val="00FA7E57"/>
    <w:rsid w:val="00FD61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F1676"/>
  <w15:chartTrackingRefBased/>
  <w15:docId w15:val="{5E5498B2-6352-434F-A854-B932D9D18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E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E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E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E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E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E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E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E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E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E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ECB"/>
    <w:rPr>
      <w:rFonts w:eastAsiaTheme="majorEastAsia" w:cstheme="majorBidi"/>
      <w:color w:val="272727" w:themeColor="text1" w:themeTint="D8"/>
    </w:rPr>
  </w:style>
  <w:style w:type="paragraph" w:styleId="Title">
    <w:name w:val="Title"/>
    <w:basedOn w:val="Normal"/>
    <w:next w:val="Normal"/>
    <w:link w:val="TitleChar"/>
    <w:uiPriority w:val="10"/>
    <w:qFormat/>
    <w:rsid w:val="00B72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ECB"/>
    <w:pPr>
      <w:spacing w:before="160"/>
      <w:jc w:val="center"/>
    </w:pPr>
    <w:rPr>
      <w:i/>
      <w:iCs/>
      <w:color w:val="404040" w:themeColor="text1" w:themeTint="BF"/>
    </w:rPr>
  </w:style>
  <w:style w:type="character" w:customStyle="1" w:styleId="QuoteChar">
    <w:name w:val="Quote Char"/>
    <w:basedOn w:val="DefaultParagraphFont"/>
    <w:link w:val="Quote"/>
    <w:uiPriority w:val="29"/>
    <w:rsid w:val="00B72ECB"/>
    <w:rPr>
      <w:i/>
      <w:iCs/>
      <w:color w:val="404040" w:themeColor="text1" w:themeTint="BF"/>
    </w:rPr>
  </w:style>
  <w:style w:type="paragraph" w:styleId="ListParagraph">
    <w:name w:val="List Paragraph"/>
    <w:basedOn w:val="Normal"/>
    <w:uiPriority w:val="34"/>
    <w:qFormat/>
    <w:rsid w:val="00B72ECB"/>
    <w:pPr>
      <w:ind w:left="720"/>
      <w:contextualSpacing/>
    </w:pPr>
  </w:style>
  <w:style w:type="character" w:styleId="IntenseEmphasis">
    <w:name w:val="Intense Emphasis"/>
    <w:basedOn w:val="DefaultParagraphFont"/>
    <w:uiPriority w:val="21"/>
    <w:qFormat/>
    <w:rsid w:val="00B72ECB"/>
    <w:rPr>
      <w:i/>
      <w:iCs/>
      <w:color w:val="0F4761" w:themeColor="accent1" w:themeShade="BF"/>
    </w:rPr>
  </w:style>
  <w:style w:type="paragraph" w:styleId="IntenseQuote">
    <w:name w:val="Intense Quote"/>
    <w:basedOn w:val="Normal"/>
    <w:next w:val="Normal"/>
    <w:link w:val="IntenseQuoteChar"/>
    <w:uiPriority w:val="30"/>
    <w:qFormat/>
    <w:rsid w:val="00B72E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ECB"/>
    <w:rPr>
      <w:i/>
      <w:iCs/>
      <w:color w:val="0F4761" w:themeColor="accent1" w:themeShade="BF"/>
    </w:rPr>
  </w:style>
  <w:style w:type="character" w:styleId="IntenseReference">
    <w:name w:val="Intense Reference"/>
    <w:basedOn w:val="DefaultParagraphFont"/>
    <w:uiPriority w:val="32"/>
    <w:qFormat/>
    <w:rsid w:val="00B72ECB"/>
    <w:rPr>
      <w:b/>
      <w:bCs/>
      <w:smallCaps/>
      <w:color w:val="0F4761" w:themeColor="accent1" w:themeShade="BF"/>
      <w:spacing w:val="5"/>
    </w:rPr>
  </w:style>
  <w:style w:type="character" w:styleId="Hyperlink">
    <w:name w:val="Hyperlink"/>
    <w:basedOn w:val="DefaultParagraphFont"/>
    <w:uiPriority w:val="99"/>
    <w:unhideWhenUsed/>
    <w:rsid w:val="008244B4"/>
    <w:rPr>
      <w:color w:val="467886" w:themeColor="hyperlink"/>
      <w:u w:val="single"/>
    </w:rPr>
  </w:style>
  <w:style w:type="character" w:styleId="UnresolvedMention">
    <w:name w:val="Unresolved Mention"/>
    <w:basedOn w:val="DefaultParagraphFont"/>
    <w:uiPriority w:val="99"/>
    <w:semiHidden/>
    <w:unhideWhenUsed/>
    <w:rsid w:val="008244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356</Words>
  <Characters>2031</Characters>
  <Application>Microsoft Office Word</Application>
  <DocSecurity>0</DocSecurity>
  <Lines>16</Lines>
  <Paragraphs>4</Paragraphs>
  <ScaleCrop>false</ScaleCrop>
  <Company/>
  <LinksUpToDate>false</LinksUpToDate>
  <CharactersWithSpaces>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KESRAOUI Yoan (ENGIE Global Markets SAS)</dc:creator>
  <cp:keywords/>
  <dc:description/>
  <cp:lastModifiedBy>KESRAOUI Yoan (ENGIE Global Markets SAS)</cp:lastModifiedBy>
  <cp:revision>19</cp:revision>
  <dcterms:created xsi:type="dcterms:W3CDTF">2026-08-24T06:35:00Z</dcterms:created>
  <dcterms:modified xsi:type="dcterms:W3CDTF">2026-08-24T07:15:00Z</dcterms:modified>
</cp:coreProperties>
</file>