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nears $92 as Hormuz escalation offsets Venezuela supply hopes</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pPr>
        <w:jc w:val="both"/>
        <w:rPr>
          <w:rFonts w:ascii="Times New Roman" w:hAnsi="Times New Roman" w:cs="Times New Roman"/>
          <w:noProof/>
        </w:rPr>
      </w:pPr>
      <w:r>
        <w:rPr>
          <w:rFonts w:ascii="Times New Roman" w:hAnsi="Times New Roman" w:cs="Times New Roman"/>
          <w:noProof/>
        </w:rPr>
        <w:t xml:space="preserve">If you are returning from the summer break and missed the key developments in August, you can refer to our note published yesterday, </w:t>
      </w:r>
      <w:hyperlink r:id="rId7" w:history="1">
        <w:r>
          <w:rPr>
            <w:rFonts w:ascii="Times New Roman" w:hAnsi="Times New Roman" w:cs="Times New Roman"/>
            <w:noProof/>
            <w:color w:val="0563C1"/>
            <w:u w:val="single"/>
          </w:rPr>
          <w:t>No end to the crisis in sight: oil in an era of persistent tensions</w:t>
        </w:r>
      </w:hyperlink>
      <w:r>
        <w:rPr>
          <w:rFonts w:ascii="Times New Roman" w:hAnsi="Times New Roman" w:cs="Times New Roman"/>
          <w:noProof/>
        </w:rPr>
        <w:t>.</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rose for a second session as renewed US-Iran hostilities increased the risk of prolonged disruption through the Strait of Hormuz. Brent for November advanced 1.1% to $91.51/bbl, while WTI rose 1.4% to $86.99/bbl after posting its largest gain in three weeks on Monday. US forces struck an island in Hormuz and Iran retaliated with attacks directed at the United Arab Emirates and Jordan. A tanker also reported being hit by three unidentified projectiles while sailing outbound near Oman, although there were no casualties or environmental damage. With officials on both sides expecting the conflict to last for months, the market is rebuilding a geopolitical premium.</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White House has now clarified the structure of its oil agreement with Venezuela. North American Blue Energy Partners, or NABEP, received 100-year concessions over 17 fields holding about 65 billion barrels of proven reserves. The Pentagon's Office of Strategic Capital will own 35% of NABEP's corporate parent, while the State Department can purchase 20% of current and future production at cost and has a right of first refusal over the remaining 80%. Washington also has veto power over board appointments, and a majority of directors must be US citizens. The arrangement therefore gives the US extensive commercial and governance rights without requiring direct taxpayer funding.</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longer-term supply potential is substantial, but the timetable is highly uncertain. NABEP plans to invest up to $100 billion and lift its Venezuelan operations above 1 mb/d, close to the country's entire current output of about 1.1 mb/d. Decades of underinvestment, damaged pipelines and political risk make a rapid increase unlikely. If production does rise, the barrels could refill the US Strategic Petroleum Reserve, support US refiners and reduce Russian and Chinese influence in the region. Venezuela is also considering leaving OPEC following the United Arab Emirates' announced departure. That would not materially change supply immediately, but it could further weaken the group's cohesion and Saudi-led market management.</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There is some relief on refined products, although the market remains tight. Adnoc has restored its 922 kb/d Ruwais refinery to full capacity and product exports have recovered to about 70% of their pre-war level. For the Persian Gulf as a whole, however, Goldman Sachs estimates that crude exports have returned to 70-80% of pre-war levels while product shipments remain at only around 40%. Global refinery outages are still running 60% above seasonal norms, and Russia has extended its diesel export ban through September. The resulting diesel squeeze remains a near-term bullish counterweight to the potentially bearish Venezuelan supply story.</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energyscan.eng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