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8B86" w14:textId="3D238A3C" w:rsidR="00E23C96" w:rsidRPr="002A277F" w:rsidRDefault="00E23C96" w:rsidP="008244B4">
      <w:pPr>
        <w:jc w:val="both"/>
        <w:rPr>
          <w:rFonts w:ascii="Times New Roman" w:hAnsi="Times New Roman" w:cs="Times New Roman"/>
          <w:noProof/>
          <w:sz w:val="28"/>
          <w:szCs w:val="28"/>
        </w:rPr>
      </w:pPr>
      <w:r w:rsidRPr="002A277F">
        <w:rPr>
          <w:rFonts w:ascii="Times New Roman" w:hAnsi="Times New Roman" w:cs="Times New Roman"/>
          <w:noProof/>
          <w:sz w:val="28"/>
          <w:szCs w:val="28"/>
        </w:rPr>
        <w:t>Oil steadies near $92 as sanctions disappoint and Hormuz flows remain disputed</w:t>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w:r>
    </w:p>
    <w:p w14:paraId="73CD4D51" w14:textId="1145227B"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Oil steadied near $92/bbl after falling more than 2% on Monday, as Washington's heavily signalled campaign against Iran delivered less immediate pressure than expected. Brent October futures were at $92.04/bbl in London and WTI at $84.96/bbl. Treasury added restrictions on roughly 60 entities tied to Iranian oil revenues and the shadow fleet, while warning trade partners that they would be given a deadline to cut ties. The market reaction suggests traders saw the announcement mainly as a warning: no broad secondary sanctions were imposed immediately, leaving the key question of enforcement against China unresolved.</w:t>
      </w:r>
    </w:p>
    <w:p w14:paraId="261C1CDB" w14:textId="01EF48F6"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 biggest uncertainty remains how much oil is actually clearing Hormuz. US officials place recent flows above 8 mb/d, but commercial trackers indicate a much lower range of 2 to 6 mb/d. Kpler estimates crude and product exports at 2.3 mb/d in August, down from 4.9 mb/d in July, while Vortexa's 28-day average is closer to 6 mb/d despite a brief seven-day peak above 9 mb/d. The gap reflects dark transits, delayed AIS data, satellite lags and uncertainty over how full each tanker is. For now, the data support a partial and volatile reopening rather than a return to normal traffic.</w:t>
      </w:r>
      <w:r w:rsidR="00FA7E57">
        <w:rPr>
          <w:rFonts w:ascii="Times New Roman" w:hAnsi="Times New Roman" w:cs="Times New Roman"/>
          <w:noProof/>
        </w:rPr>
        <w:t xml:space="preserve"/>
      </w:r>
      <w:r w:rsidRPr="008244B4">
        <w:rPr>
          <w:rFonts w:ascii="Times New Roman" w:hAnsi="Times New Roman" w:cs="Times New Roman"/>
          <w:noProof/>
        </w:rPr>
        <w:t xml:space="preserve"/>
      </w:r>
    </w:p>
    <w:p w14:paraId="1F8BBDED" w14:textId="70E22645"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Physical risks remain high. A tanker near Oman was disabled by an unknown projectile, while the Houthis said they targeted the Saudi VLCC Amzan in the Red Sea, extending the threat north toward Yanbu. Freight economics are equally disruptive: TotalEnergies estimates that a VLCC transit through Hormuz now costs about $20 million, or roughly $10/bbl, while barrels inside the Gulf are being bought at $50 to $60. These margins encourage crude to move through the strait, but the cost is prohibitive for smaller product tankers, helping to explain the widening split between relatively well-supplied crude and very tight refined-product markets.</w:t>
      </w:r>
    </w:p>
    <w:p w14:paraId="4F01E1B2" w14:textId="34472E24"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That split is being reinforced by Ukrainian strikes on Russian refineries, which TotalEnergies says have curtailed fuel supplies by 3 to 3.5 mb/d and pushed diesel premiums close to 15-year highs. Asian refiners are also expected to buy more than 40 million barrels of US crude for September loading, up from about 22 million in August, which could tighten sour crude availability in the United States and divert barrels from Europe. Traders will now watch whether Washington follows through against major Chinese buyers and banks, whether confirmed Hormuz arrivals catch up with US claims, and whether product tightness starts to offset the softer global demand outlook.</w:t>
      </w:r>
      <w:r w:rsidR="00554C99">
        <w:rPr>
          <w:rFonts w:ascii="Times New Roman" w:hAnsi="Times New Roman" w:cs="Times New Roman"/>
          <w:noProof/>
        </w:rPr>
        <w:t xml:space="preserve"/>
      </w:r>
      <w:r w:rsidRPr="008244B4">
        <w:rPr>
          <w:rFonts w:ascii="Times New Roman" w:hAnsi="Times New Roman" w:cs="Times New Roman"/>
          <w:noProof/>
        </w:rPr>
        <w:t/>
      </w:r>
    </w:p>
    <w:p w14:paraId="7C28C270" w14:textId="1713680E" w:rsidR="00651060" w:rsidRPr="008244B4" w:rsidRDefault="00651060" w:rsidP="008244B4">
      <w:pPr>
        <w:jc w:val="both"/>
      </w:pPr>
    </w:p>
    <w:sectPr w:rsidR="00651060" w:rsidRPr="00824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B22"/>
    <w:multiLevelType w:val="multilevel"/>
    <w:tmpl w:val="AE4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6C3"/>
    <w:multiLevelType w:val="multilevel"/>
    <w:tmpl w:val="392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4AEA"/>
    <w:multiLevelType w:val="multilevel"/>
    <w:tmpl w:val="58A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B2A"/>
    <w:multiLevelType w:val="multilevel"/>
    <w:tmpl w:val="25C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25D0"/>
    <w:multiLevelType w:val="multilevel"/>
    <w:tmpl w:val="C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121A"/>
    <w:multiLevelType w:val="multilevel"/>
    <w:tmpl w:val="3A6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4D7D"/>
    <w:multiLevelType w:val="multilevel"/>
    <w:tmpl w:val="09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A5410"/>
    <w:multiLevelType w:val="multilevel"/>
    <w:tmpl w:val="4EF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06498">
    <w:abstractNumId w:val="2"/>
  </w:num>
  <w:num w:numId="2" w16cid:durableId="268898668">
    <w:abstractNumId w:val="6"/>
  </w:num>
  <w:num w:numId="3" w16cid:durableId="91517539">
    <w:abstractNumId w:val="7"/>
  </w:num>
  <w:num w:numId="4" w16cid:durableId="12802284">
    <w:abstractNumId w:val="1"/>
  </w:num>
  <w:num w:numId="5" w16cid:durableId="1010838715">
    <w:abstractNumId w:val="4"/>
  </w:num>
  <w:num w:numId="6" w16cid:durableId="1788088530">
    <w:abstractNumId w:val="5"/>
  </w:num>
  <w:num w:numId="7" w16cid:durableId="1064258445">
    <w:abstractNumId w:val="0"/>
  </w:num>
  <w:num w:numId="8" w16cid:durableId="92394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CB"/>
    <w:rsid w:val="00097214"/>
    <w:rsid w:val="000E6CA1"/>
    <w:rsid w:val="001B73A0"/>
    <w:rsid w:val="002A277F"/>
    <w:rsid w:val="002B4A56"/>
    <w:rsid w:val="002C1E50"/>
    <w:rsid w:val="003C2D46"/>
    <w:rsid w:val="004B4BBF"/>
    <w:rsid w:val="00554C99"/>
    <w:rsid w:val="00651060"/>
    <w:rsid w:val="00802444"/>
    <w:rsid w:val="008244B4"/>
    <w:rsid w:val="008A435B"/>
    <w:rsid w:val="00984453"/>
    <w:rsid w:val="00A2459F"/>
    <w:rsid w:val="00A66889"/>
    <w:rsid w:val="00B72ECB"/>
    <w:rsid w:val="00CB5757"/>
    <w:rsid w:val="00D35344"/>
    <w:rsid w:val="00E23C96"/>
    <w:rsid w:val="00E35233"/>
    <w:rsid w:val="00EA706E"/>
    <w:rsid w:val="00FA7E57"/>
    <w:rsid w:val="00FD6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1676"/>
  <w15:chartTrackingRefBased/>
  <w15:docId w15:val="{5E5498B2-6352-434F-A854-B932D9D1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CB"/>
    <w:rPr>
      <w:rFonts w:eastAsiaTheme="majorEastAsia" w:cstheme="majorBidi"/>
      <w:color w:val="272727" w:themeColor="text1" w:themeTint="D8"/>
    </w:rPr>
  </w:style>
  <w:style w:type="paragraph" w:styleId="Title">
    <w:name w:val="Title"/>
    <w:basedOn w:val="Normal"/>
    <w:next w:val="Normal"/>
    <w:link w:val="TitleChar"/>
    <w:uiPriority w:val="10"/>
    <w:qFormat/>
    <w:rsid w:val="00B7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CB"/>
    <w:pPr>
      <w:spacing w:before="160"/>
      <w:jc w:val="center"/>
    </w:pPr>
    <w:rPr>
      <w:i/>
      <w:iCs/>
      <w:color w:val="404040" w:themeColor="text1" w:themeTint="BF"/>
    </w:rPr>
  </w:style>
  <w:style w:type="character" w:customStyle="1" w:styleId="QuoteChar">
    <w:name w:val="Quote Char"/>
    <w:basedOn w:val="DefaultParagraphFont"/>
    <w:link w:val="Quote"/>
    <w:uiPriority w:val="29"/>
    <w:rsid w:val="00B72ECB"/>
    <w:rPr>
      <w:i/>
      <w:iCs/>
      <w:color w:val="404040" w:themeColor="text1" w:themeTint="BF"/>
    </w:rPr>
  </w:style>
  <w:style w:type="paragraph" w:styleId="ListParagraph">
    <w:name w:val="List Paragraph"/>
    <w:basedOn w:val="Normal"/>
    <w:uiPriority w:val="34"/>
    <w:qFormat/>
    <w:rsid w:val="00B72ECB"/>
    <w:pPr>
      <w:ind w:left="720"/>
      <w:contextualSpacing/>
    </w:pPr>
  </w:style>
  <w:style w:type="character" w:styleId="IntenseEmphasis">
    <w:name w:val="Intense Emphasis"/>
    <w:basedOn w:val="DefaultParagraphFont"/>
    <w:uiPriority w:val="21"/>
    <w:qFormat/>
    <w:rsid w:val="00B72ECB"/>
    <w:rPr>
      <w:i/>
      <w:iCs/>
      <w:color w:val="0F4761" w:themeColor="accent1" w:themeShade="BF"/>
    </w:rPr>
  </w:style>
  <w:style w:type="paragraph" w:styleId="IntenseQuote">
    <w:name w:val="Intense Quote"/>
    <w:basedOn w:val="Normal"/>
    <w:next w:val="Normal"/>
    <w:link w:val="IntenseQuoteChar"/>
    <w:uiPriority w:val="30"/>
    <w:qFormat/>
    <w:rsid w:val="00B7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CB"/>
    <w:rPr>
      <w:i/>
      <w:iCs/>
      <w:color w:val="0F4761" w:themeColor="accent1" w:themeShade="BF"/>
    </w:rPr>
  </w:style>
  <w:style w:type="character" w:styleId="IntenseReference">
    <w:name w:val="Intense Reference"/>
    <w:basedOn w:val="DefaultParagraphFont"/>
    <w:uiPriority w:val="32"/>
    <w:qFormat/>
    <w:rsid w:val="00B72ECB"/>
    <w:rPr>
      <w:b/>
      <w:bCs/>
      <w:smallCaps/>
      <w:color w:val="0F4761" w:themeColor="accent1" w:themeShade="BF"/>
      <w:spacing w:val="5"/>
    </w:rPr>
  </w:style>
  <w:style w:type="character" w:styleId="Hyperlink">
    <w:name w:val="Hyperlink"/>
    <w:basedOn w:val="DefaultParagraphFont"/>
    <w:uiPriority w:val="99"/>
    <w:unhideWhenUsed/>
    <w:rsid w:val="008244B4"/>
    <w:rPr>
      <w:color w:val="467886" w:themeColor="hyperlink"/>
      <w:u w:val="single"/>
    </w:rPr>
  </w:style>
  <w:style w:type="character" w:styleId="UnresolvedMention">
    <w:name w:val="Unresolved Mention"/>
    <w:basedOn w:val="DefaultParagraphFont"/>
    <w:uiPriority w:val="99"/>
    <w:semiHidden/>
    <w:unhideWhenUsed/>
    <w:rsid w:val="00824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19</cp:revision>
  <dcterms:created xsi:type="dcterms:W3CDTF">2026-08-24T06:35:00Z</dcterms:created>
  <dcterms:modified xsi:type="dcterms:W3CDTF">2026-08-24T07:15:00Z</dcterms:modified>
</cp:coreProperties>
</file>