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jumps above $90 as fresh US-Iran strikes revive Hormuz fears</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started the week sharply higher after the US and Iran exchanged strikes for the first time in about a month. Brent for November rose 3.1% to $90.87/bbl, while WTI gained 3.1% to $85.95/bbl. US forces targeted Iranian rocket launchers that were allegedly preparing to deploy mines into the Strait of Hormuz, and Iran responded with a missile-and-drone attack on US bases in Jordan; Jordan said it intercepted the missiles. The move extends an exceptionally volatile month in which Brent traded across a range of almost $17/bbl, showing that prices remain highly sensitive to any change in the military or diplomatic outlook.</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Hormuz remains the market's immediate focus. Iran's Revolutionary Guard said an unidentified supertanker was hit by two mines while attempting to use the strait's southern route, although the claim has not been independently confirmed. The incident challenges the US assertion that international shipping lanes have been cleared, a conclusion already questioned by several US allies. Physical flows nevertheless continue: traders estimate that 6-8 mb/d of crude is crossing Hormuz, and Iran says limited traffic is using a Tehran-approved corridor subject to coordination and toll payments. These barrels are preventing a larger price spike, but flows remain near half their pre-war level and exposed to a rapid reversal.</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Away from the Gulf, the new US-Venezuela oil agreement is a potentially bearish medium-term development. The deal gives the US a 55% stake in a new venture holding a 100-year concession over 17 fields with about 65 billion barrels of reserves. Washington says part of the crude will be used to refill the Strategic Petroleum Reserve, while Venezuela is considering leaving OPEC following the United Arab Emirates' announced departure. The near-term price impact should remain modest: Venezuelan production was only 1.16 mb/d in July and years of underinvestment mean that infrastructure will take time to restore. Strategically, however, the agreement could attract Western investment, expand future supply and further weaken OPEC cohesion.</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tightest part of the market remains diesel. US retail diesel prices have risen 57% this year, while Goldman Sachs estimates that global refinery outages are running 60% above seasonal norms. Persian Gulf crude exports may have recovered to 70-80% of pre-war levels, but product shipments are still only around 40%, and Russia has extended its diesel export ban through September. Goldman consequently more than doubled its 2027 forecast for diesel margins over Brent to $63/bbl in the US and $49/bbl in Europe. President Trump is due to meet refining executives on Tuesday as US plants operate close to their reduced capacity, but the immediate outlook remains one of persistent product tightness even if crude supply improves.</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