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8B86" w14:textId="3D238A3C" w:rsidR="00E23C96" w:rsidRPr="002A277F" w:rsidRDefault="00E23C96" w:rsidP="008244B4">
      <w:pPr>
        <w:jc w:val="both"/>
        <w:rPr>
          <w:rFonts w:ascii="Times New Roman" w:hAnsi="Times New Roman" w:cs="Times New Roman"/>
          <w:noProof/>
          <w:sz w:val="28"/>
          <w:szCs w:val="28"/>
        </w:rPr>
      </w:pPr>
      <w:r w:rsidRPr="002A277F">
        <w:rPr>
          <w:rFonts w:ascii="Times New Roman" w:hAnsi="Times New Roman" w:cs="Times New Roman"/>
          <w:noProof/>
          <w:sz w:val="28"/>
          <w:szCs w:val="28"/>
        </w:rPr>
        <w:t>Oil jumps above $90 as fresh US-Iran strikes revive Hormuz fears</w:t>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xml:space="preserve"/>
      </w:r>
      <w:r w:rsidRPr="002A277F">
        <w:rPr>
          <w:rFonts w:ascii="Times New Roman" w:hAnsi="Times New Roman" w:cs="Times New Roman"/>
          <w:noProof/>
          <w:sz w:val="28"/>
          <w:szCs w:val="28"/>
        </w:rPr>
        <w:t/>
      </w:r>
      <w:r w:rsidRPr="002A277F">
        <w:rPr>
          <w:rFonts w:ascii="Times New Roman" w:hAnsi="Times New Roman" w:cs="Times New Roman"/>
          <w:noProof/>
          <w:sz w:val="28"/>
          <w:szCs w:val="28"/>
        </w:rPr>
        <w:t/>
      </w:r>
    </w:p>
    <w:p w14:paraId="73CD4D51" w14:textId="1145227B"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Oil started the week sharply higher after the US and Iran exchanged strikes for the first time in about a month. Brent for November rose 3.1% to $90.87/bbl, while WTI gained 3.1% to $85.95/bbl. US forces targeted Iranian rocket launchers that were allegedly preparing to deploy mines into the Strait of Hormuz, and Iran responded with a missile-and-drone attack on US bases in Jordan; Jordan said it intercepted the missiles. The move extends an exceptionally volatile month in which Brent traded across a range of almost $17/bbl, showing that prices remain highly sensitive to any change in the military or diplomatic outlook.</w:t>
      </w:r>
    </w:p>
    <w:p w14:paraId="261C1CDB" w14:textId="01EF48F6"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Hormuz remains the market's immediate focus. Iran's Revolutionary Guard said an unidentified supertanker was hit by two mines while attempting to use the strait's southern route, although the claim has not been independently confirmed. The incident challenges the US assertion that international shipping lanes have been cleared, a conclusion already questioned by several US allies. Physical flows nevertheless continue: traders estimate that 6-8 mb/d of crude is crossing Hormuz, and Iran says limited traffic is using a Tehran-approved corridor subject to coordination and toll payments. These barrels are preventing a larger price spike, but flows remain near half their pre-war level and exposed to a rapid reversal.</w:t>
      </w:r>
      <w:r w:rsidR="00FA7E57">
        <w:rPr>
          <w:rFonts w:ascii="Times New Roman" w:hAnsi="Times New Roman" w:cs="Times New Roman"/>
          <w:noProof/>
        </w:rPr>
        <w:t xml:space="preserve"/>
      </w:r>
      <w:r w:rsidRPr="008244B4">
        <w:rPr>
          <w:rFonts w:ascii="Times New Roman" w:hAnsi="Times New Roman" w:cs="Times New Roman"/>
          <w:noProof/>
        </w:rPr>
        <w:t xml:space="preserve"/>
      </w:r>
    </w:p>
    <w:p w14:paraId="1F8BBDED" w14:textId="70E22645"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Away from the Gulf, the new US-Venezuela oil agreement is a potentially bearish medium-term development. The deal gives the US a 55% stake in a new venture holding a 100-year concession over 17 fields with about 65 billion barrels of reserves. Washington says part of the crude will be used to refill the Strategic Petroleum Reserve, while Venezuela is considering leaving OPEC following the United Arab Emirates' announced departure. The near-term price impact should remain modest: Venezuelan production was only 1.16 mb/d in July and years of underinvestment mean that infrastructure will take time to restore. Strategically, however, the agreement could attract Western investment, expand future supply and further weaken OPEC cohesion.</w:t>
      </w:r>
    </w:p>
    <w:p w14:paraId="4F01E1B2" w14:textId="34472E24" w:rsidR="008244B4" w:rsidRPr="008244B4" w:rsidRDefault="008244B4" w:rsidP="008244B4">
      <w:pPr>
        <w:jc w:val="both"/>
        <w:rPr>
          <w:rFonts w:ascii="Times New Roman" w:hAnsi="Times New Roman" w:cs="Times New Roman"/>
          <w:noProof/>
        </w:rPr>
      </w:pPr>
      <w:r w:rsidRPr="008244B4">
        <w:rPr>
          <w:rFonts w:ascii="Times New Roman" w:hAnsi="Times New Roman" w:cs="Times New Roman"/>
          <w:noProof/>
        </w:rPr>
        <w:t>The tightest part of the market remains diesel. US retail diesel prices have risen 57% this year, while Goldman Sachs estimates that global refinery outages are running 60% above seasonal norms. Goldman Sachs also estimates that Persian Gulf crude exports may have recovered to 70-80% of pre-war levels, while product shipments remain at only around 40%, and Russia has extended its diesel export ban through September. Goldman consequently more than doubled its 2027 forecast for diesel margins over Brent to $63/bbl in the US and $49/bbl in Europe. President Trump is due to meet refining executives on Tuesday as US plants operate close to their reduced capacity, but the immediate outlook remains one of persistent product tightness even if crude supply improves.</w:t>
      </w:r>
      <w:r w:rsidR="00554C99">
        <w:rPr>
          <w:rFonts w:ascii="Times New Roman" w:hAnsi="Times New Roman" w:cs="Times New Roman"/>
          <w:noProof/>
        </w:rPr>
        <w:t xml:space="preserve"/>
      </w:r>
      <w:r w:rsidRPr="008244B4">
        <w:rPr>
          <w:rFonts w:ascii="Times New Roman" w:hAnsi="Times New Roman" w:cs="Times New Roman"/>
          <w:noProof/>
        </w:rPr>
        <w:t/>
      </w:r>
    </w:p>
    <w:p w14:paraId="7C28C270" w14:textId="1713680E" w:rsidR="00651060" w:rsidRPr="008244B4" w:rsidRDefault="00651060" w:rsidP="008244B4">
      <w:pPr>
        <w:jc w:val="both"/>
      </w:pPr>
    </w:p>
    <w:sectPr w:rsidR="00651060" w:rsidRPr="008244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B22"/>
    <w:multiLevelType w:val="multilevel"/>
    <w:tmpl w:val="AE4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406C3"/>
    <w:multiLevelType w:val="multilevel"/>
    <w:tmpl w:val="3928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D4AEA"/>
    <w:multiLevelType w:val="multilevel"/>
    <w:tmpl w:val="58A2B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72B2A"/>
    <w:multiLevelType w:val="multilevel"/>
    <w:tmpl w:val="25C4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925D0"/>
    <w:multiLevelType w:val="multilevel"/>
    <w:tmpl w:val="C8D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D6121A"/>
    <w:multiLevelType w:val="multilevel"/>
    <w:tmpl w:val="3A6ED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7B4D7D"/>
    <w:multiLevelType w:val="multilevel"/>
    <w:tmpl w:val="092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A5410"/>
    <w:multiLevelType w:val="multilevel"/>
    <w:tmpl w:val="4EFC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806498">
    <w:abstractNumId w:val="2"/>
  </w:num>
  <w:num w:numId="2" w16cid:durableId="268898668">
    <w:abstractNumId w:val="6"/>
  </w:num>
  <w:num w:numId="3" w16cid:durableId="91517539">
    <w:abstractNumId w:val="7"/>
  </w:num>
  <w:num w:numId="4" w16cid:durableId="12802284">
    <w:abstractNumId w:val="1"/>
  </w:num>
  <w:num w:numId="5" w16cid:durableId="1010838715">
    <w:abstractNumId w:val="4"/>
  </w:num>
  <w:num w:numId="6" w16cid:durableId="1788088530">
    <w:abstractNumId w:val="5"/>
  </w:num>
  <w:num w:numId="7" w16cid:durableId="1064258445">
    <w:abstractNumId w:val="0"/>
  </w:num>
  <w:num w:numId="8" w16cid:durableId="923949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ECB"/>
    <w:rsid w:val="00097214"/>
    <w:rsid w:val="000E6CA1"/>
    <w:rsid w:val="001B73A0"/>
    <w:rsid w:val="002A277F"/>
    <w:rsid w:val="002B4A56"/>
    <w:rsid w:val="002C1E50"/>
    <w:rsid w:val="003C2D46"/>
    <w:rsid w:val="004B4BBF"/>
    <w:rsid w:val="00554C99"/>
    <w:rsid w:val="00651060"/>
    <w:rsid w:val="00802444"/>
    <w:rsid w:val="008244B4"/>
    <w:rsid w:val="008A435B"/>
    <w:rsid w:val="00984453"/>
    <w:rsid w:val="00A2459F"/>
    <w:rsid w:val="00A66889"/>
    <w:rsid w:val="00B72ECB"/>
    <w:rsid w:val="00CB5757"/>
    <w:rsid w:val="00D35344"/>
    <w:rsid w:val="00E23C96"/>
    <w:rsid w:val="00E35233"/>
    <w:rsid w:val="00EA706E"/>
    <w:rsid w:val="00FA7E57"/>
    <w:rsid w:val="00FD61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1676"/>
  <w15:chartTrackingRefBased/>
  <w15:docId w15:val="{5E5498B2-6352-434F-A854-B932D9D18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E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E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E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E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E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E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E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E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E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E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ECB"/>
    <w:rPr>
      <w:rFonts w:eastAsiaTheme="majorEastAsia" w:cstheme="majorBidi"/>
      <w:color w:val="272727" w:themeColor="text1" w:themeTint="D8"/>
    </w:rPr>
  </w:style>
  <w:style w:type="paragraph" w:styleId="Title">
    <w:name w:val="Title"/>
    <w:basedOn w:val="Normal"/>
    <w:next w:val="Normal"/>
    <w:link w:val="TitleChar"/>
    <w:uiPriority w:val="10"/>
    <w:qFormat/>
    <w:rsid w:val="00B72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ECB"/>
    <w:pPr>
      <w:spacing w:before="160"/>
      <w:jc w:val="center"/>
    </w:pPr>
    <w:rPr>
      <w:i/>
      <w:iCs/>
      <w:color w:val="404040" w:themeColor="text1" w:themeTint="BF"/>
    </w:rPr>
  </w:style>
  <w:style w:type="character" w:customStyle="1" w:styleId="QuoteChar">
    <w:name w:val="Quote Char"/>
    <w:basedOn w:val="DefaultParagraphFont"/>
    <w:link w:val="Quote"/>
    <w:uiPriority w:val="29"/>
    <w:rsid w:val="00B72ECB"/>
    <w:rPr>
      <w:i/>
      <w:iCs/>
      <w:color w:val="404040" w:themeColor="text1" w:themeTint="BF"/>
    </w:rPr>
  </w:style>
  <w:style w:type="paragraph" w:styleId="ListParagraph">
    <w:name w:val="List Paragraph"/>
    <w:basedOn w:val="Normal"/>
    <w:uiPriority w:val="34"/>
    <w:qFormat/>
    <w:rsid w:val="00B72ECB"/>
    <w:pPr>
      <w:ind w:left="720"/>
      <w:contextualSpacing/>
    </w:pPr>
  </w:style>
  <w:style w:type="character" w:styleId="IntenseEmphasis">
    <w:name w:val="Intense Emphasis"/>
    <w:basedOn w:val="DefaultParagraphFont"/>
    <w:uiPriority w:val="21"/>
    <w:qFormat/>
    <w:rsid w:val="00B72ECB"/>
    <w:rPr>
      <w:i/>
      <w:iCs/>
      <w:color w:val="0F4761" w:themeColor="accent1" w:themeShade="BF"/>
    </w:rPr>
  </w:style>
  <w:style w:type="paragraph" w:styleId="IntenseQuote">
    <w:name w:val="Intense Quote"/>
    <w:basedOn w:val="Normal"/>
    <w:next w:val="Normal"/>
    <w:link w:val="IntenseQuoteChar"/>
    <w:uiPriority w:val="30"/>
    <w:qFormat/>
    <w:rsid w:val="00B72E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ECB"/>
    <w:rPr>
      <w:i/>
      <w:iCs/>
      <w:color w:val="0F4761" w:themeColor="accent1" w:themeShade="BF"/>
    </w:rPr>
  </w:style>
  <w:style w:type="character" w:styleId="IntenseReference">
    <w:name w:val="Intense Reference"/>
    <w:basedOn w:val="DefaultParagraphFont"/>
    <w:uiPriority w:val="32"/>
    <w:qFormat/>
    <w:rsid w:val="00B72ECB"/>
    <w:rPr>
      <w:b/>
      <w:bCs/>
      <w:smallCaps/>
      <w:color w:val="0F4761" w:themeColor="accent1" w:themeShade="BF"/>
      <w:spacing w:val="5"/>
    </w:rPr>
  </w:style>
  <w:style w:type="character" w:styleId="Hyperlink">
    <w:name w:val="Hyperlink"/>
    <w:basedOn w:val="DefaultParagraphFont"/>
    <w:uiPriority w:val="99"/>
    <w:unhideWhenUsed/>
    <w:rsid w:val="008244B4"/>
    <w:rPr>
      <w:color w:val="467886" w:themeColor="hyperlink"/>
      <w:u w:val="single"/>
    </w:rPr>
  </w:style>
  <w:style w:type="character" w:styleId="UnresolvedMention">
    <w:name w:val="Unresolved Mention"/>
    <w:basedOn w:val="DefaultParagraphFont"/>
    <w:uiPriority w:val="99"/>
    <w:semiHidden/>
    <w:unhideWhenUsed/>
    <w:rsid w:val="008244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a9b9e15-83d2-4075-9282-a04e05c6580a}" enabled="1" method="Standard" siteId="{24139d14-c62c-4c47-8bdd-ce71ea1d50cf}"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356</Words>
  <Characters>2031</Characters>
  <Application>Microsoft Office Word</Application>
  <DocSecurity>0</DocSecurity>
  <Lines>16</Lines>
  <Paragraphs>4</Paragraphs>
  <ScaleCrop>false</ScaleCrop>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KESRAOUI Yoan (ENGIE Global Markets SAS)</dc:creator>
  <cp:keywords/>
  <dc:description/>
  <cp:lastModifiedBy>KESRAOUI Yoan (ENGIE Global Markets SAS)</cp:lastModifiedBy>
  <cp:revision>19</cp:revision>
  <dcterms:created xsi:type="dcterms:W3CDTF">2026-08-24T06:35:00Z</dcterms:created>
  <dcterms:modified xsi:type="dcterms:W3CDTF">2026-08-24T07:15:00Z</dcterms:modified>
</cp:coreProperties>
</file>