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4927"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Oil note — research elements</w:t>
      </w:r>
    </w:p>
    <w:p w14:paraId="1188B7EC" w14:textId="3E8B902E" w:rsidR="00ED238A" w:rsidRPr="00ED238A" w:rsidRDefault="00ED238A" w:rsidP="00ED238A">
      <w:pPr>
        <w:jc w:val="both"/>
        <w:rPr>
          <w:rFonts w:ascii="Times New Roman" w:hAnsi="Times New Roman" w:cs="Times New Roman"/>
          <w:b/>
          <w:bCs/>
          <w:lang w:val="fr-FR"/>
        </w:rPr>
      </w:pPr>
      <w:r w:rsidRPr="00000380">
        <w:rPr>
          <w:rFonts w:ascii="Times New Roman" w:hAnsi="Times New Roman" w:cs="Times New Roman"/>
          <w:b/>
          <w:bCs/>
        </w:rPr>
        <w:t>Intro</w:t>
      </w:r>
    </w:p>
    <w:p w14:paraId="4504993F"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conflict that began in late February experienced a partial easing with the United States–Iran protocol of 17 June, followed by a resumption of attacks in early July. The 60-day negotiation period expired on 17 August without a final agreement.</w:t>
      </w:r>
    </w:p>
    <w:p w14:paraId="5C77EEC9" w14:textId="063A72CF"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Front-month Brent fell from </w:t>
      </w:r>
      <w:r w:rsidRPr="00000380">
        <w:rPr>
          <w:rFonts w:ascii="Times New Roman" w:hAnsi="Times New Roman" w:cs="Times New Roman"/>
          <w:b/>
        </w:rPr>
        <w:t>$90.12/b on 31 July to $79.36/b on 4 August</w:t>
      </w:r>
      <w:r w:rsidRPr="00000380">
        <w:rPr>
          <w:rFonts w:ascii="Times New Roman" w:hAnsi="Times New Roman" w:cs="Times New Roman"/>
        </w:rPr>
        <w:t xml:space="preserve">, when the market was anticipating an agreement on Hormuz, before rising again to </w:t>
      </w:r>
      <w:r w:rsidRPr="00000380">
        <w:rPr>
          <w:rFonts w:ascii="Times New Roman" w:hAnsi="Times New Roman" w:cs="Times New Roman"/>
          <w:b/>
        </w:rPr>
        <w:t>$94.39/b on 21 August</w:t>
      </w:r>
      <w:r w:rsidRPr="00000380">
        <w:rPr>
          <w:rFonts w:ascii="Times New Roman" w:hAnsi="Times New Roman" w:cs="Times New Roman"/>
        </w:rPr>
        <w:t xml:space="preserve"> after the negotiations failed. It was trading at around </w:t>
      </w:r>
      <w:r w:rsidRPr="00000380">
        <w:rPr>
          <w:rFonts w:ascii="Times New Roman" w:hAnsi="Times New Roman" w:cs="Times New Roman"/>
          <w:b/>
        </w:rPr>
        <w:t>$92.8/b on 24 August during the session</w:t>
      </w:r>
      <w:r w:rsidRPr="00000380">
        <w:rPr>
          <w:rFonts w:ascii="Times New Roman" w:hAnsi="Times New Roman" w:cs="Times New Roman"/>
        </w:rPr>
        <w:t xml:space="preserve">. The IEA indicates that benchmarks had reached around $105/b on 23 July. </w:t>
      </w:r>
      <w:hyperlink r:id="rId5" w:history="1">
        <w:r w:rsidRPr="00000380">
          <w:rPr>
            <w:rStyle w:val="Hyperlink"/>
            <w:rFonts w:ascii="Times New Roman" w:hAnsi="Times New Roman" w:cs="Times New Roman"/>
          </w:rPr>
          <w:t>Yahoo Finance, BZ=F</w:t>
        </w:r>
      </w:hyperlink>
      <w:r w:rsidRPr="00000380">
        <w:rPr>
          <w:rFonts w:ascii="Times New Roman" w:hAnsi="Times New Roman" w:cs="Times New Roman"/>
        </w:rPr>
        <w:t xml:space="preserve">, </w:t>
      </w:r>
      <w:hyperlink r:id="rId6" w:history="1">
        <w:r w:rsidRPr="00000380">
          <w:rPr>
            <w:rStyle w:val="Hyperlink"/>
            <w:rFonts w:ascii="Times New Roman" w:hAnsi="Times New Roman" w:cs="Times New Roman"/>
          </w:rPr>
          <w:t>IEA, Oil Market Report – August 2026</w:t>
        </w:r>
      </w:hyperlink>
      <w:r>
        <w:rPr>
          <w:noProof/>
        </w:rPr>
        <w:t/>
      </w:r>
      <w:r>
        <w:rPr>
          <w:rStyle w:val="FootnoteReference"/>
          <w:vertAlign w:val="superscript"/>
        </w:rPr>
        <w:footnoteReference w:id="1"/>
      </w:r>
      <w:r w:rsidRPr="00000380">
        <w:rPr>
          <w:rFonts w:ascii="Times New Roman" w:hAnsi="Times New Roman" w:cs="Times New Roman"/>
        </w:rPr>
        <w:t>.</w:t>
      </w:r>
    </w:p>
    <w:p w14:paraId="00107A40" w14:textId="2AA49B59"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main observation is that prices react as much to diplomatic expectations as to physical flows: the decline in early August occurred while traffic remained very low.</w:t>
      </w:r>
    </w:p>
    <w:p w14:paraId="132EABF0"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1. What is the traffic through Hormuz?</w:t>
      </w:r>
    </w:p>
    <w:p w14:paraId="0086E2FF"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Reference and current traffic</w:t>
      </w:r>
    </w:p>
    <w:p w14:paraId="51BEF25F" w14:textId="77777777" w:rsidR="00ED238A" w:rsidRPr="00000380"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Before the war, Hormuz carried around </w:t>
      </w:r>
      <w:r w:rsidRPr="00000380">
        <w:rPr>
          <w:rFonts w:ascii="Times New Roman" w:hAnsi="Times New Roman" w:cs="Times New Roman"/>
          <w:b/>
        </w:rPr>
        <w:t>20 mb/d of crude oil and products</w:t>
      </w:r>
      <w:r w:rsidRPr="00000380">
        <w:rPr>
          <w:rFonts w:ascii="Times New Roman" w:hAnsi="Times New Roman" w:cs="Times New Roman"/>
        </w:rPr>
        <w:t xml:space="preserve">, including nearly </w:t>
      </w:r>
      <w:r w:rsidRPr="00000380">
        <w:rPr>
          <w:rFonts w:ascii="Times New Roman" w:hAnsi="Times New Roman" w:cs="Times New Roman"/>
          <w:b/>
        </w:rPr>
        <w:t>15 mb/d of crude and condensates</w:t>
      </w:r>
      <w:r w:rsidRPr="00000380">
        <w:rPr>
          <w:rFonts w:ascii="Times New Roman" w:hAnsi="Times New Roman" w:cs="Times New Roman"/>
        </w:rPr>
        <w:t xml:space="preserve">, or around one quarter of global seaborne oil trade. Total traffic reached approximately 130 to 138 vessels per day. </w:t>
      </w:r>
      <w:hyperlink r:id="rId7" w:history="1">
        <w:r w:rsidRPr="00000380">
          <w:rPr>
            <w:rStyle w:val="Hyperlink"/>
            <w:rFonts w:ascii="Times New Roman" w:hAnsi="Times New Roman" w:cs="Times New Roman"/>
          </w:rPr>
          <w:t>IEA, Hormuz factsheet</w:t>
        </w:r>
      </w:hyperlink>
      <w:r>
        <w:rPr>
          <w:noProof/>
        </w:rPr>
        <w:t/>
      </w:r>
      <w:r>
        <w:rPr>
          <w:rStyle w:val="FootnoteReference"/>
          <w:vertAlign w:val="superscript"/>
        </w:rPr>
        <w:footnoteReference w:id="2"/>
      </w:r>
      <w:r w:rsidRPr="00000380">
        <w:rPr>
          <w:rFonts w:ascii="Times New Roman" w:hAnsi="Times New Roman" w:cs="Times New Roman"/>
        </w:rPr>
        <w:t>.</w:t>
      </w:r>
    </w:p>
    <w:p w14:paraId="256514D4"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In the second quarter, the EIA estimates oil flows at only </w:t>
      </w:r>
      <w:r w:rsidRPr="00000380">
        <w:rPr>
          <w:rFonts w:ascii="Times New Roman" w:hAnsi="Times New Roman" w:cs="Times New Roman"/>
          <w:b/>
        </w:rPr>
        <w:t>4.9 mb/d</w:t>
      </w:r>
      <w:r w:rsidRPr="00000380">
        <w:rPr>
          <w:rFonts w:ascii="Times New Roman" w:hAnsi="Times New Roman" w:cs="Times New Roman"/>
        </w:rPr>
        <w:t xml:space="preserve">, compared with 21.6 mb/d in the fourth quarter of 2025. This estimate includes an adjustment for vessels operating without AIS. </w:t>
      </w:r>
      <w:hyperlink r:id="rId8" w:history="1">
        <w:r w:rsidRPr="00ED238A">
          <w:rPr>
            <w:rStyle w:val="Hyperlink"/>
            <w:rFonts w:ascii="Times New Roman" w:hAnsi="Times New Roman" w:cs="Times New Roman"/>
          </w:rPr>
          <w:t>EIA, energy security analysis</w:t>
        </w:r>
      </w:hyperlink>
      <w:r>
        <w:rPr>
          <w:noProof/>
        </w:rPr>
        <w:t/>
      </w:r>
      <w:r>
        <w:rPr>
          <w:rStyle w:val="FootnoteReference"/>
          <w:vertAlign w:val="superscript"/>
        </w:rPr>
        <w:footnoteReference w:id="3"/>
      </w:r>
      <w:r>
        <w:rPr>
          <w:rFonts w:ascii="Times New Roman" w:hAnsi="Times New Roman" w:cs="Times New Roman"/>
          <w:lang w:val="fr-FR"/>
        </w:rPr>
        <w:t>.</w:t>
      </w:r>
    </w:p>
    <w:p w14:paraId="31DCCE8D"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During the June–August negotiation window, Kpler estimates crude and condensate outflows at an average of </w:t>
      </w:r>
      <w:r w:rsidRPr="00000380">
        <w:rPr>
          <w:rFonts w:ascii="Times New Roman" w:hAnsi="Times New Roman" w:cs="Times New Roman"/>
          <w:b/>
        </w:rPr>
        <w:t>6.1 mb/d</w:t>
      </w:r>
      <w:r w:rsidRPr="00000380">
        <w:rPr>
          <w:rFonts w:ascii="Times New Roman" w:hAnsi="Times New Roman" w:cs="Times New Roman"/>
        </w:rPr>
        <w:t xml:space="preserve">, only 40% of the normal level. In the final week of the protocol, loadings reached around 4.9 mb/d, but confirmed outflows only 2.3 mb/d. </w:t>
      </w:r>
      <w:hyperlink r:id="rId9" w:history="1">
        <w:r w:rsidRPr="00ED238A">
          <w:rPr>
            <w:rStyle w:val="Hyperlink"/>
            <w:rFonts w:ascii="Times New Roman" w:hAnsi="Times New Roman" w:cs="Times New Roman"/>
          </w:rPr>
          <w:t>Kpler, 19 August</w:t>
        </w:r>
      </w:hyperlink>
      <w:r>
        <w:rPr>
          <w:noProof/>
        </w:rPr>
        <w:t/>
      </w:r>
      <w:r>
        <w:rPr>
          <w:rStyle w:val="FootnoteReference"/>
          <w:vertAlign w:val="superscript"/>
        </w:rPr>
        <w:footnoteReference w:id="4"/>
      </w:r>
      <w:r>
        <w:rPr>
          <w:rFonts w:ascii="Times New Roman" w:hAnsi="Times New Roman" w:cs="Times New Roman"/>
          <w:lang w:val="fr-FR"/>
        </w:rPr>
        <w:t>.</w:t>
      </w:r>
    </w:p>
    <w:p w14:paraId="7EECC046" w14:textId="77777777" w:rsidR="00ED238A" w:rsidRPr="00ED238A" w:rsidRDefault="00ED238A" w:rsidP="00ED238A">
      <w:pPr>
        <w:numPr>
          <w:ilvl w:val="0"/>
          <w:numId w:val="19"/>
        </w:numPr>
        <w:jc w:val="both"/>
        <w:rPr>
          <w:rFonts w:ascii="Times New Roman" w:hAnsi="Times New Roman" w:cs="Times New Roman"/>
        </w:rPr>
      </w:pPr>
      <w:r w:rsidRPr="00000380">
        <w:rPr>
          <w:rFonts w:ascii="Times New Roman" w:hAnsi="Times New Roman" w:cs="Times New Roman"/>
        </w:rPr>
        <w:t xml:space="preserve">For the period from 14 to 21 August, Vortexa estimates that tanker cargoes that actually passed through the strait amounted to around </w:t>
      </w:r>
      <w:r w:rsidRPr="00000380">
        <w:rPr>
          <w:rFonts w:ascii="Times New Roman" w:hAnsi="Times New Roman" w:cs="Times New Roman"/>
          <w:b/>
        </w:rPr>
        <w:t>0.94 mb/d</w:t>
      </w:r>
      <w:r w:rsidRPr="00000380">
        <w:rPr>
          <w:rFonts w:ascii="Times New Roman" w:hAnsi="Times New Roman" w:cs="Times New Roman"/>
        </w:rPr>
        <w:t xml:space="preserve">. Daily counts remain extremely volatile: only four commodity vessels reportedly transited on Sunday 23 August. </w:t>
      </w:r>
      <w:hyperlink r:id="rId10" w:history="1">
        <w:r w:rsidRPr="00ED238A">
          <w:rPr>
            <w:rStyle w:val="Hyperlink"/>
            <w:rFonts w:ascii="Times New Roman" w:hAnsi="Times New Roman" w:cs="Times New Roman"/>
          </w:rPr>
          <w:t>Reuters, 24 August</w:t>
        </w:r>
      </w:hyperlink>
      <w:r>
        <w:rPr>
          <w:noProof/>
        </w:rPr>
        <w:t/>
      </w:r>
      <w:r>
        <w:rPr>
          <w:rStyle w:val="FootnoteReference"/>
          <w:vertAlign w:val="superscript"/>
        </w:rPr>
        <w:footnoteReference w:id="5"/>
      </w:r>
      <w:r>
        <w:rPr>
          <w:rFonts w:ascii="Times New Roman" w:hAnsi="Times New Roman" w:cs="Times New Roman"/>
          <w:lang w:val="fr-FR"/>
        </w:rPr>
        <w:t>.</w:t>
      </w:r>
    </w:p>
    <w:p w14:paraId="5B994174"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How passages are organised</w:t>
      </w:r>
    </w:p>
    <w:p w14:paraId="2170DB14"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The southern route through Omani waters, introduced after the June protocol, was almost abandoned after several attacks in July.</w:t>
      </w:r>
    </w:p>
    <w:p w14:paraId="0191633D"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Most identifiable passages now use a route designated by Iran. However, a majority of vessels carrying oil, LNG or LPG operate with AIS switched off or cannot be linked to any corridor.</w:t>
      </w:r>
    </w:p>
    <w:p w14:paraId="4198CDE3"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lastRenderedPageBreak/>
        <w:t>National companies are making greater use of their own fleets and organising ship-to-ship transfers off Oman or Fujairah to avoid exposing long-haul vessels to the strait.</w:t>
      </w:r>
    </w:p>
    <w:p w14:paraId="1E1F562F"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 xml:space="preserve">The United States claims to provide military guidance for night-time passages that would allow nearly 10 mb/d. This estimate is not confirmed by Kpler, Vortexa, radar data or AIS counts: it should be presented as a </w:t>
      </w:r>
      <w:r w:rsidRPr="00000380">
        <w:rPr>
          <w:rFonts w:ascii="Times New Roman" w:hAnsi="Times New Roman" w:cs="Times New Roman"/>
          <w:b/>
        </w:rPr>
        <w:t>disputed US claim</w:t>
      </w:r>
      <w:r w:rsidRPr="00000380">
        <w:rPr>
          <w:rFonts w:ascii="Times New Roman" w:hAnsi="Times New Roman" w:cs="Times New Roman"/>
        </w:rPr>
        <w:t>, not as an established figure.</w:t>
      </w:r>
    </w:p>
    <w:p w14:paraId="333A0A6A" w14:textId="77777777" w:rsidR="00ED238A" w:rsidRPr="00000380" w:rsidRDefault="00ED238A" w:rsidP="00ED238A">
      <w:pPr>
        <w:numPr>
          <w:ilvl w:val="0"/>
          <w:numId w:val="20"/>
        </w:numPr>
        <w:jc w:val="both"/>
        <w:rPr>
          <w:rFonts w:ascii="Times New Roman" w:hAnsi="Times New Roman" w:cs="Times New Roman"/>
        </w:rPr>
      </w:pPr>
      <w:r w:rsidRPr="00000380">
        <w:rPr>
          <w:rFonts w:ascii="Times New Roman" w:hAnsi="Times New Roman" w:cs="Times New Roman"/>
        </w:rPr>
        <w:t xml:space="preserve">War-risk premiums are reportedly </w:t>
      </w:r>
      <w:r w:rsidRPr="00000380">
        <w:rPr>
          <w:rFonts w:ascii="Times New Roman" w:hAnsi="Times New Roman" w:cs="Times New Roman"/>
          <w:b/>
        </w:rPr>
        <w:t>7.5% to 12.5% of hull value</w:t>
      </w:r>
      <w:r w:rsidRPr="00000380">
        <w:rPr>
          <w:rFonts w:ascii="Times New Roman" w:hAnsi="Times New Roman" w:cs="Times New Roman"/>
        </w:rPr>
        <w:t xml:space="preserve">, compared with around 0.25% before the war. Gulf–China VLCC rates exceed $500,000/day. </w:t>
      </w:r>
      <w:hyperlink r:id="rId11" w:history="1">
        <w:r w:rsidRPr="00000380">
          <w:rPr>
            <w:rStyle w:val="Hyperlink"/>
            <w:rFonts w:ascii="Times New Roman" w:hAnsi="Times New Roman" w:cs="Times New Roman"/>
          </w:rPr>
          <w:t>Lloyd’s List Intelligence, 19 August</w:t>
        </w:r>
      </w:hyperlink>
      <w:r>
        <w:rPr>
          <w:noProof/>
        </w:rPr>
        <w:t/>
      </w:r>
      <w:r>
        <w:rPr>
          <w:rStyle w:val="FootnoteReference"/>
          <w:vertAlign w:val="superscript"/>
        </w:rPr>
        <w:footnoteReference w:id="6"/>
      </w:r>
      <w:r w:rsidRPr="00000380">
        <w:rPr>
          <w:rFonts w:ascii="Times New Roman" w:hAnsi="Times New Roman" w:cs="Times New Roman"/>
        </w:rPr>
        <w:t>.</w:t>
      </w:r>
    </w:p>
    <w:p w14:paraId="3CE5765B"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2. What is the impact of the Houthi blockade against Saudi Arabia?</w:t>
      </w:r>
    </w:p>
    <w:p w14:paraId="49FA47DE"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Nature of the blockade</w:t>
      </w:r>
    </w:p>
    <w:p w14:paraId="21A3DC14"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On 20 July, the Houthis announced an embargo targeting </w:t>
      </w:r>
      <w:r w:rsidRPr="00000380">
        <w:rPr>
          <w:rFonts w:ascii="Times New Roman" w:hAnsi="Times New Roman" w:cs="Times New Roman"/>
          <w:b/>
        </w:rPr>
        <w:t>vessels calling at Saudi ports</w:t>
      </w:r>
      <w:r w:rsidRPr="00000380">
        <w:rPr>
          <w:rFonts w:ascii="Times New Roman" w:hAnsi="Times New Roman" w:cs="Times New Roman"/>
        </w:rPr>
        <w:t>. This is not a general closure of Bab el-Mandeb: vessels with no links to Saudi Arabia mostly continue to pass through.</w:t>
      </w:r>
    </w:p>
    <w:p w14:paraId="263EA93C"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blockade is nevertheless economically effective, as merely increasing attack and insurance risks is enough to deter Western or traditional shipowners.</w:t>
      </w:r>
    </w:p>
    <w:p w14:paraId="4CEF1E97"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Traffic through Bab el-Mandeb</w:t>
      </w:r>
    </w:p>
    <w:p w14:paraId="0C755EC0" w14:textId="77777777" w:rsidR="00ED238A" w:rsidRPr="00ED238A"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 xml:space="preserve">Oil flows had increased from around 5.4 mb/d at the end of 2025 to </w:t>
      </w:r>
      <w:r w:rsidRPr="00000380">
        <w:rPr>
          <w:rFonts w:ascii="Times New Roman" w:hAnsi="Times New Roman" w:cs="Times New Roman"/>
          <w:b/>
        </w:rPr>
        <w:t>8.1 mb/d in the second quarter of 2026</w:t>
      </w:r>
      <w:r w:rsidRPr="00000380">
        <w:rPr>
          <w:rFonts w:ascii="Times New Roman" w:hAnsi="Times New Roman" w:cs="Times New Roman"/>
        </w:rPr>
        <w:t xml:space="preserve">, as Saudi Arabia was using Yanbu to bypass Hormuz. </w:t>
      </w:r>
      <w:hyperlink r:id="rId12" w:history="1">
        <w:r w:rsidRPr="00ED238A">
          <w:rPr>
            <w:rStyle w:val="Hyperlink"/>
            <w:rFonts w:ascii="Times New Roman" w:hAnsi="Times New Roman" w:cs="Times New Roman"/>
          </w:rPr>
          <w:t>EIA</w:t>
        </w:r>
      </w:hyperlink>
      <w:r>
        <w:rPr>
          <w:noProof/>
        </w:rPr>
        <w:t/>
      </w:r>
      <w:r>
        <w:rPr>
          <w:rStyle w:val="FootnoteReference"/>
          <w:vertAlign w:val="superscript"/>
        </w:rPr>
        <w:footnoteReference w:id="7"/>
      </w:r>
      <w:r>
        <w:rPr>
          <w:rFonts w:ascii="Times New Roman" w:hAnsi="Times New Roman" w:cs="Times New Roman"/>
          <w:lang w:val="fr-FR"/>
        </w:rPr>
        <w:t>.</w:t>
      </w:r>
    </w:p>
    <w:p w14:paraId="0DC0A1B4" w14:textId="77777777" w:rsidR="00ED238A" w:rsidRPr="00000380"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The total number of passages fell from 354 in the week before the embargo to 269 the following week. The decline was concentrated among traditional tankers, whose traffic fell by 42%.</w:t>
      </w:r>
    </w:p>
    <w:p w14:paraId="3208217A" w14:textId="77777777" w:rsidR="00ED238A" w:rsidRPr="00ED238A" w:rsidRDefault="00ED238A" w:rsidP="00ED238A">
      <w:pPr>
        <w:numPr>
          <w:ilvl w:val="0"/>
          <w:numId w:val="21"/>
        </w:numPr>
        <w:jc w:val="both"/>
        <w:rPr>
          <w:rFonts w:ascii="Times New Roman" w:hAnsi="Times New Roman" w:cs="Times New Roman"/>
        </w:rPr>
      </w:pPr>
      <w:r w:rsidRPr="00000380">
        <w:rPr>
          <w:rFonts w:ascii="Times New Roman" w:hAnsi="Times New Roman" w:cs="Times New Roman"/>
        </w:rPr>
        <w:t xml:space="preserve">Since then, traffic appears to have stabilised at around </w:t>
      </w:r>
      <w:r w:rsidRPr="00000380">
        <w:rPr>
          <w:rFonts w:ascii="Times New Roman" w:hAnsi="Times New Roman" w:cs="Times New Roman"/>
          <w:b/>
        </w:rPr>
        <w:t>252 to 265 passages per week</w:t>
      </w:r>
      <w:r w:rsidRPr="00000380">
        <w:rPr>
          <w:rFonts w:ascii="Times New Roman" w:hAnsi="Times New Roman" w:cs="Times New Roman"/>
        </w:rPr>
        <w:t xml:space="preserve">, compared with an average of 296 during the six months before the blockade. </w:t>
      </w:r>
      <w:hyperlink r:id="rId13" w:history="1">
        <w:r w:rsidRPr="00ED238A">
          <w:rPr>
            <w:rStyle w:val="Hyperlink"/>
            <w:rFonts w:ascii="Times New Roman" w:hAnsi="Times New Roman" w:cs="Times New Roman"/>
          </w:rPr>
          <w:t>Lloyd’s List, 20 August</w:t>
        </w:r>
      </w:hyperlink>
      <w:r>
        <w:rPr>
          <w:noProof/>
        </w:rPr>
        <w:t/>
      </w:r>
      <w:r>
        <w:rPr>
          <w:rStyle w:val="FootnoteReference"/>
          <w:vertAlign w:val="superscript"/>
        </w:rPr>
        <w:footnoteReference w:id="8"/>
      </w:r>
      <w:r>
        <w:rPr>
          <w:rFonts w:ascii="Times New Roman" w:hAnsi="Times New Roman" w:cs="Times New Roman"/>
          <w:lang w:val="fr-FR"/>
        </w:rPr>
        <w:t>.</w:t>
      </w:r>
    </w:p>
    <w:p w14:paraId="7CF909C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Impact on Yanbu</w:t>
      </w:r>
    </w:p>
    <w:p w14:paraId="78F9FE6C"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 xml:space="preserve">Yanbu loadings had risen from around 0.75 mb/d in 2025 to nearly </w:t>
      </w:r>
      <w:r w:rsidRPr="00000380">
        <w:rPr>
          <w:rFonts w:ascii="Times New Roman" w:hAnsi="Times New Roman" w:cs="Times New Roman"/>
          <w:b/>
        </w:rPr>
        <w:t>4 mb/d in spring 2026</w:t>
      </w:r>
      <w:r w:rsidRPr="00000380">
        <w:rPr>
          <w:rFonts w:ascii="Times New Roman" w:hAnsi="Times New Roman" w:cs="Times New Roman"/>
        </w:rPr>
        <w:t>.</w:t>
      </w:r>
    </w:p>
    <w:p w14:paraId="29A2664E"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 xml:space="preserve">Yanbu continues to operate, but vessels frequently load with AIS switched off. For the same week in August, commercial estimates ranged from </w:t>
      </w:r>
      <w:r w:rsidRPr="00000380">
        <w:rPr>
          <w:rFonts w:ascii="Times New Roman" w:hAnsi="Times New Roman" w:cs="Times New Roman"/>
          <w:b/>
        </w:rPr>
        <w:t>0.64 to 2.38 mb/d</w:t>
      </w:r>
      <w:r w:rsidRPr="00000380">
        <w:rPr>
          <w:rFonts w:ascii="Times New Roman" w:hAnsi="Times New Roman" w:cs="Times New Roman"/>
        </w:rPr>
        <w:t>: actual throughput is therefore highly uncertain.</w:t>
      </w:r>
    </w:p>
    <w:p w14:paraId="563B758F" w14:textId="77777777" w:rsidR="00ED238A" w:rsidRPr="00000380" w:rsidRDefault="00ED238A" w:rsidP="00ED238A">
      <w:pPr>
        <w:numPr>
          <w:ilvl w:val="0"/>
          <w:numId w:val="22"/>
        </w:numPr>
        <w:jc w:val="both"/>
        <w:rPr>
          <w:rFonts w:ascii="Times New Roman" w:hAnsi="Times New Roman" w:cs="Times New Roman"/>
        </w:rPr>
      </w:pPr>
      <w:r w:rsidRPr="00000380">
        <w:rPr>
          <w:rFonts w:ascii="Times New Roman" w:hAnsi="Times New Roman" w:cs="Times New Roman"/>
        </w:rPr>
        <w:t>The main impact is a sharp deterioration in Yanbu's role as a simple and inexpensive bypass solution.</w:t>
      </w:r>
    </w:p>
    <w:p w14:paraId="56D8C1DD" w14:textId="77777777" w:rsidR="00CE5477" w:rsidRPr="00000380" w:rsidRDefault="00CE5477" w:rsidP="00CE5477">
      <w:pPr>
        <w:jc w:val="both"/>
        <w:rPr>
          <w:rFonts w:ascii="Times New Roman" w:hAnsi="Times New Roman" w:cs="Times New Roman"/>
        </w:rPr>
      </w:pPr>
    </w:p>
    <w:p w14:paraId="4219C3C5"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Alternative solutions</w:t>
      </w:r>
    </w:p>
    <w:p w14:paraId="717827B7"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lastRenderedPageBreak/>
        <w:t>Use of the Saudi East–West pipeline to Yanbu: nominal capacity of around 5 mb/d, with Aramco claiming up to 7 mb/d, although this level has never been demonstrated on a sustained basis.</w:t>
      </w:r>
    </w:p>
    <w:p w14:paraId="29989ECD"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Loading at Yanbu, then transport to </w:t>
      </w:r>
      <w:r w:rsidRPr="00000380">
        <w:rPr>
          <w:rFonts w:ascii="Times New Roman" w:hAnsi="Times New Roman" w:cs="Times New Roman"/>
          <w:b/>
        </w:rPr>
        <w:t>Ain Sukhna</w:t>
      </w:r>
      <w:r w:rsidRPr="00000380">
        <w:rPr>
          <w:rFonts w:ascii="Times New Roman" w:hAnsi="Times New Roman" w:cs="Times New Roman"/>
        </w:rPr>
        <w:t xml:space="preserve">, transfer through Egypt's </w:t>
      </w:r>
      <w:r w:rsidRPr="00000380">
        <w:rPr>
          <w:rFonts w:ascii="Times New Roman" w:hAnsi="Times New Roman" w:cs="Times New Roman"/>
          <w:b/>
        </w:rPr>
        <w:t>SUMED</w:t>
      </w:r>
      <w:r w:rsidRPr="00000380">
        <w:rPr>
          <w:rFonts w:ascii="Times New Roman" w:hAnsi="Times New Roman" w:cs="Times New Roman"/>
        </w:rPr>
        <w:t xml:space="preserve"> pipeline, and reloading at </w:t>
      </w:r>
      <w:r w:rsidRPr="00000380">
        <w:rPr>
          <w:rFonts w:ascii="Times New Roman" w:hAnsi="Times New Roman" w:cs="Times New Roman"/>
          <w:b/>
        </w:rPr>
        <w:t>Sidi Kerir</w:t>
      </w:r>
      <w:r w:rsidRPr="00000380">
        <w:rPr>
          <w:rFonts w:ascii="Times New Roman" w:hAnsi="Times New Roman" w:cs="Times New Roman"/>
        </w:rPr>
        <w:t xml:space="preserve"> in the Mediterranean.</w:t>
      </w:r>
    </w:p>
    <w:p w14:paraId="5F10FA1C"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VLCCs sometimes have to unload part of their cargo before Suez, cross the canal half-loaded, then collect the remainder at Sidi Kerir.</w:t>
      </w:r>
    </w:p>
    <w:p w14:paraId="2957E3A2" w14:textId="77777777" w:rsidR="00ED238A" w:rsidRPr="00000380" w:rsidRDefault="00ED238A" w:rsidP="00ED238A">
      <w:pPr>
        <w:numPr>
          <w:ilvl w:val="0"/>
          <w:numId w:val="23"/>
        </w:numPr>
        <w:jc w:val="both"/>
        <w:rPr>
          <w:rFonts w:ascii="Times New Roman" w:hAnsi="Times New Roman" w:cs="Times New Roman"/>
        </w:rPr>
      </w:pPr>
      <w:r w:rsidRPr="00000380">
        <w:rPr>
          <w:rFonts w:ascii="Times New Roman" w:hAnsi="Times New Roman" w:cs="Times New Roman"/>
        </w:rPr>
        <w:t xml:space="preserve">To then reach Asia, they must return via Gibraltar and the Cape of Good Hope. This can add </w:t>
      </w:r>
      <w:r w:rsidRPr="00000380">
        <w:rPr>
          <w:rFonts w:ascii="Times New Roman" w:hAnsi="Times New Roman" w:cs="Times New Roman"/>
          <w:b/>
        </w:rPr>
        <w:t>20 to 30 days and around $5/barrel</w:t>
      </w:r>
      <w:r w:rsidRPr="00000380">
        <w:rPr>
          <w:rFonts w:ascii="Times New Roman" w:hAnsi="Times New Roman" w:cs="Times New Roman"/>
        </w:rPr>
        <w:t xml:space="preserve">. </w:t>
      </w:r>
      <w:hyperlink r:id="rId14" w:history="1">
        <w:r w:rsidRPr="00000380">
          <w:rPr>
            <w:rStyle w:val="Hyperlink"/>
            <w:rFonts w:ascii="Times New Roman" w:hAnsi="Times New Roman" w:cs="Times New Roman"/>
          </w:rPr>
          <w:t>Kpler</w:t>
        </w:r>
      </w:hyperlink>
      <w:r>
        <w:rPr>
          <w:noProof/>
        </w:rPr>
        <w:t/>
      </w:r>
      <w:r>
        <w:rPr>
          <w:rStyle w:val="FootnoteReference"/>
          <w:vertAlign w:val="superscript"/>
        </w:rPr>
        <w:footnoteReference w:id="9"/>
      </w:r>
      <w:r w:rsidRPr="00000380">
        <w:rPr>
          <w:rFonts w:ascii="Times New Roman" w:hAnsi="Times New Roman" w:cs="Times New Roman"/>
        </w:rPr>
        <w:t xml:space="preserve">, </w:t>
      </w:r>
      <w:hyperlink r:id="rId15" w:history="1">
        <w:r w:rsidRPr="00000380">
          <w:rPr>
            <w:rStyle w:val="Hyperlink"/>
            <w:rFonts w:ascii="Times New Roman" w:hAnsi="Times New Roman" w:cs="Times New Roman"/>
          </w:rPr>
          <w:t>OilPrice, 21 August</w:t>
        </w:r>
      </w:hyperlink>
      <w:r>
        <w:rPr>
          <w:noProof/>
        </w:rPr>
        <w:t/>
      </w:r>
      <w:r>
        <w:rPr>
          <w:rStyle w:val="FootnoteReference"/>
          <w:vertAlign w:val="superscript"/>
        </w:rPr>
        <w:footnoteReference w:id="10"/>
      </w:r>
      <w:r w:rsidRPr="00000380">
        <w:rPr>
          <w:rFonts w:ascii="Times New Roman" w:hAnsi="Times New Roman" w:cs="Times New Roman"/>
        </w:rPr>
        <w:t>.</w:t>
      </w:r>
    </w:p>
    <w:p w14:paraId="2BC48110" w14:textId="214F0D1F" w:rsidR="00ED238A" w:rsidRPr="00000380" w:rsidRDefault="001729F7" w:rsidP="00ED238A">
      <w:pPr>
        <w:jc w:val="both"/>
        <w:rPr>
          <w:rFonts w:ascii="Times New Roman" w:hAnsi="Times New Roman" w:cs="Times New Roman"/>
        </w:rPr>
      </w:pPr>
      <w:r w:rsidRPr="00000380">
        <w:rPr>
          <w:rFonts w:ascii="Times New Roman" w:hAnsi="Times New Roman" w:cs="Times New Roman"/>
        </w:rPr>
        <w:t xml:space="preserve">The blockade is partial, but it significantly reduces Yanbu's logistical advantage. The bypass solutions are mainly used to supply Europe. </w:t>
      </w:r>
    </w:p>
    <w:p w14:paraId="2C981A08"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3. What are the prospects for a political resolution?</w:t>
      </w:r>
    </w:p>
    <w:p w14:paraId="622B68D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Current situation</w:t>
      </w:r>
    </w:p>
    <w:p w14:paraId="3662DCD3" w14:textId="77777777" w:rsidR="00ED238A" w:rsidRPr="00ED238A"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 xml:space="preserve">The June protocol expired on 17 August without an agreement, without an extension and without any genuine detailed negotiation on the nuclear issue. </w:t>
      </w:r>
      <w:hyperlink r:id="rId16" w:history="1">
        <w:r w:rsidRPr="00ED238A">
          <w:rPr>
            <w:rStyle w:val="Hyperlink"/>
            <w:rFonts w:ascii="Times New Roman" w:hAnsi="Times New Roman" w:cs="Times New Roman"/>
          </w:rPr>
          <w:t>AP, review of 17 August</w:t>
        </w:r>
      </w:hyperlink>
      <w:r>
        <w:rPr>
          <w:noProof/>
        </w:rPr>
        <w:t/>
      </w:r>
      <w:r>
        <w:rPr>
          <w:rStyle w:val="FootnoteReference"/>
          <w:vertAlign w:val="superscript"/>
        </w:rPr>
        <w:footnoteReference w:id="11"/>
      </w:r>
      <w:r>
        <w:rPr>
          <w:rFonts w:ascii="Times New Roman" w:hAnsi="Times New Roman" w:cs="Times New Roman"/>
          <w:lang w:val="fr-FR"/>
        </w:rPr>
        <w:t>.</w:t>
      </w:r>
    </w:p>
    <w:p w14:paraId="09BE4BC5" w14:textId="77777777" w:rsidR="00ED238A" w:rsidRPr="00000380"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Iran is making reopening conditional on the lifting of the US blockade, the easing of oil sanctions, the release of frozen assets, guarantees against further attacks and compensation.</w:t>
      </w:r>
    </w:p>
    <w:p w14:paraId="646D721F" w14:textId="77777777" w:rsidR="00ED238A" w:rsidRPr="00000380"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Tehran is simultaneously negotiating with Oman on joint route management and the possible collection of fees. Washington rejects any lasting Iranian control and any toll, even if presented as voluntary.</w:t>
      </w:r>
    </w:p>
    <w:p w14:paraId="55BFF9E2" w14:textId="77777777" w:rsidR="00ED238A" w:rsidRPr="00ED238A" w:rsidRDefault="00ED238A" w:rsidP="00ED238A">
      <w:pPr>
        <w:numPr>
          <w:ilvl w:val="0"/>
          <w:numId w:val="24"/>
        </w:numPr>
        <w:jc w:val="both"/>
        <w:rPr>
          <w:rFonts w:ascii="Times New Roman" w:hAnsi="Times New Roman" w:cs="Times New Roman"/>
        </w:rPr>
      </w:pPr>
      <w:r w:rsidRPr="00000380">
        <w:rPr>
          <w:rFonts w:ascii="Times New Roman" w:hAnsi="Times New Roman" w:cs="Times New Roman"/>
        </w:rPr>
        <w:t xml:space="preserve">The United States has reinstated its blockade, removed oil waivers and sanctioned the Iranian authority responsible for organising passages, as well as several financial networks. A new round of secondary sanctions is due to be detailed on 24 August. </w:t>
      </w:r>
      <w:hyperlink r:id="rId17" w:history="1">
        <w:r w:rsidRPr="00ED238A">
          <w:rPr>
            <w:rStyle w:val="Hyperlink"/>
            <w:rFonts w:ascii="Times New Roman" w:hAnsi="Times New Roman" w:cs="Times New Roman"/>
          </w:rPr>
          <w:t>OFAC</w:t>
        </w:r>
      </w:hyperlink>
      <w:r>
        <w:rPr>
          <w:noProof/>
        </w:rPr>
        <w:t/>
      </w:r>
      <w:r>
        <w:rPr>
          <w:rStyle w:val="FootnoteReference"/>
          <w:vertAlign w:val="superscript"/>
        </w:rPr>
        <w:footnoteReference w:id="12"/>
      </w:r>
      <w:r>
        <w:rPr>
          <w:rFonts w:ascii="Times New Roman" w:hAnsi="Times New Roman" w:cs="Times New Roman"/>
          <w:lang w:val="fr-FR"/>
        </w:rPr>
        <w:t xml:space="preserve">, </w:t>
      </w:r>
      <w:hyperlink r:id="rId18" w:history="1">
        <w:r w:rsidRPr="00ED238A">
          <w:rPr>
            <w:rStyle w:val="Hyperlink"/>
            <w:rFonts w:ascii="Times New Roman" w:hAnsi="Times New Roman" w:cs="Times New Roman"/>
          </w:rPr>
          <w:t>US Treasury, 7 August</w:t>
        </w:r>
      </w:hyperlink>
      <w:r>
        <w:rPr>
          <w:noProof/>
        </w:rPr>
        <w:t/>
      </w:r>
      <w:r>
        <w:rPr>
          <w:rStyle w:val="FootnoteReference"/>
          <w:vertAlign w:val="superscript"/>
        </w:rPr>
        <w:footnoteReference w:id="13"/>
      </w:r>
      <w:r>
        <w:rPr>
          <w:rFonts w:ascii="Times New Roman" w:hAnsi="Times New Roman" w:cs="Times New Roman"/>
          <w:lang w:val="fr-FR"/>
        </w:rPr>
        <w:t>.</w:t>
      </w:r>
    </w:p>
    <w:p w14:paraId="40E23F26"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Conflicting signals</w:t>
      </w:r>
    </w:p>
    <w:p w14:paraId="429D6BCC" w14:textId="27D18FF7" w:rsidR="00ED238A" w:rsidRPr="00000380"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Iranian President Pezeshkian presents the protocol as the best way out of the ‘neither war nor peace’ situation, particularly to allow investment to return.</w:t>
      </w:r>
    </w:p>
    <w:p w14:paraId="2C3D4687" w14:textId="77777777" w:rsidR="00ED238A" w:rsidRPr="00ED238A"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 xml:space="preserve">By contrast, the new head of the Supreme National Security Council, Mohsen Rezaei, is threatening countries that support US sanctions and referring to strikes against alternative Gulf routes. </w:t>
      </w:r>
      <w:hyperlink r:id="rId19" w:history="1">
        <w:r w:rsidRPr="00ED238A">
          <w:rPr>
            <w:rStyle w:val="Hyperlink"/>
            <w:rFonts w:ascii="Times New Roman" w:hAnsi="Times New Roman" w:cs="Times New Roman"/>
          </w:rPr>
          <w:t>AP, 23 August</w:t>
        </w:r>
      </w:hyperlink>
      <w:r>
        <w:rPr>
          <w:noProof/>
        </w:rPr>
        <w:t/>
      </w:r>
      <w:r>
        <w:rPr>
          <w:rStyle w:val="FootnoteReference"/>
          <w:vertAlign w:val="superscript"/>
        </w:rPr>
        <w:footnoteReference w:id="14"/>
      </w:r>
      <w:r>
        <w:rPr>
          <w:rFonts w:ascii="Times New Roman" w:hAnsi="Times New Roman" w:cs="Times New Roman"/>
          <w:lang w:val="fr-FR"/>
        </w:rPr>
        <w:t>.</w:t>
      </w:r>
    </w:p>
    <w:p w14:paraId="45C78594" w14:textId="77777777" w:rsidR="00ED238A" w:rsidRPr="00000380" w:rsidRDefault="00ED238A" w:rsidP="00ED238A">
      <w:pPr>
        <w:numPr>
          <w:ilvl w:val="0"/>
          <w:numId w:val="25"/>
        </w:numPr>
        <w:jc w:val="both"/>
        <w:rPr>
          <w:rFonts w:ascii="Times New Roman" w:hAnsi="Times New Roman" w:cs="Times New Roman"/>
        </w:rPr>
      </w:pPr>
      <w:r w:rsidRPr="00000380">
        <w:rPr>
          <w:rFonts w:ascii="Times New Roman" w:hAnsi="Times New Roman" w:cs="Times New Roman"/>
        </w:rPr>
        <w:t>Oman, Egypt and Pakistan are continuing their mediation efforts. Some Iraqi vessels have recently received Iranian authorisations to pass through.</w:t>
      </w:r>
    </w:p>
    <w:p w14:paraId="125C651F"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Assessment</w:t>
      </w:r>
    </w:p>
    <w:p w14:paraId="7DA00E61" w14:textId="77777777" w:rsidR="00ED238A" w:rsidRPr="00000380" w:rsidRDefault="00ED238A" w:rsidP="00ED238A">
      <w:pPr>
        <w:numPr>
          <w:ilvl w:val="0"/>
          <w:numId w:val="26"/>
        </w:numPr>
        <w:jc w:val="both"/>
        <w:rPr>
          <w:rFonts w:ascii="Times New Roman" w:hAnsi="Times New Roman" w:cs="Times New Roman"/>
        </w:rPr>
      </w:pPr>
      <w:r w:rsidRPr="00000380">
        <w:rPr>
          <w:rFonts w:ascii="Times New Roman" w:hAnsi="Times New Roman" w:cs="Times New Roman"/>
          <w:b/>
        </w:rPr>
        <w:lastRenderedPageBreak/>
        <w:t>Central short-term scenario:</w:t>
      </w:r>
      <w:r w:rsidRPr="00000380">
        <w:rPr>
          <w:rFonts w:ascii="Times New Roman" w:hAnsi="Times New Roman" w:cs="Times New Roman"/>
        </w:rPr>
        <w:t xml:space="preserve"> maintenance of a coercive balance, with low and selective traffic, occasional exemptions, US sanctions and sporadic incidents.</w:t>
      </w:r>
    </w:p>
    <w:p w14:paraId="0054A151" w14:textId="77777777" w:rsidR="00ED238A" w:rsidRPr="00000380" w:rsidRDefault="00ED238A" w:rsidP="00ED238A">
      <w:pPr>
        <w:numPr>
          <w:ilvl w:val="0"/>
          <w:numId w:val="26"/>
        </w:numPr>
        <w:jc w:val="both"/>
        <w:rPr>
          <w:rFonts w:ascii="Times New Roman" w:hAnsi="Times New Roman" w:cs="Times New Roman"/>
        </w:rPr>
      </w:pPr>
      <w:r w:rsidRPr="00000380">
        <w:rPr>
          <w:rFonts w:ascii="Times New Roman" w:hAnsi="Times New Roman" w:cs="Times New Roman"/>
          <w:b/>
        </w:rPr>
        <w:t>Possible partial easing:</w:t>
      </w:r>
      <w:r w:rsidRPr="00000380">
        <w:rPr>
          <w:rFonts w:ascii="Times New Roman" w:hAnsi="Times New Roman" w:cs="Times New Roman"/>
        </w:rPr>
        <w:t xml:space="preserve"> an Iran–Oman technical agreement, a tested corridor, security guarantees and a limited waiver. However, this would not yet constitute a comprehensive political agreement.</w:t>
      </w:r>
    </w:p>
    <w:p w14:paraId="49BD607D" w14:textId="77777777" w:rsidR="00ED238A" w:rsidRPr="00000380" w:rsidRDefault="00ED238A" w:rsidP="00ED238A">
      <w:pPr>
        <w:numPr>
          <w:ilvl w:val="0"/>
          <w:numId w:val="26"/>
        </w:numPr>
        <w:jc w:val="both"/>
        <w:rPr>
          <w:rFonts w:ascii="Times New Roman" w:hAnsi="Times New Roman" w:cs="Times New Roman"/>
        </w:rPr>
      </w:pPr>
      <w:r w:rsidRPr="00000380">
        <w:rPr>
          <w:rFonts w:ascii="Times New Roman" w:hAnsi="Times New Roman" w:cs="Times New Roman"/>
          <w:b/>
        </w:rPr>
        <w:t>Risk of escalation:</w:t>
      </w:r>
      <w:r w:rsidRPr="00000380">
        <w:rPr>
          <w:rFonts w:ascii="Times New Roman" w:hAnsi="Times New Roman" w:cs="Times New Roman"/>
        </w:rPr>
        <w:t xml:space="preserve"> secondary sanctions against Chinese or Indian buyers, banks and insurers, followed by Iranian retaliation against infrastructure or bypass routes.</w:t>
      </w:r>
    </w:p>
    <w:p w14:paraId="7CFB8442"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4. What about the Russia–Ukraine conflict?</w:t>
      </w:r>
    </w:p>
    <w:p w14:paraId="580DE059"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Upstream production</w:t>
      </w:r>
    </w:p>
    <w:p w14:paraId="27648BD4" w14:textId="77777777" w:rsidR="00ED238A" w:rsidRPr="00000380" w:rsidRDefault="00ED238A" w:rsidP="00ED238A">
      <w:pPr>
        <w:numPr>
          <w:ilvl w:val="0"/>
          <w:numId w:val="27"/>
        </w:numPr>
        <w:jc w:val="both"/>
        <w:rPr>
          <w:rFonts w:ascii="Times New Roman" w:hAnsi="Times New Roman" w:cs="Times New Roman"/>
        </w:rPr>
      </w:pPr>
      <w:r w:rsidRPr="00000380">
        <w:rPr>
          <w:rFonts w:ascii="Times New Roman" w:hAnsi="Times New Roman" w:cs="Times New Roman"/>
        </w:rPr>
        <w:t>Russian crude and condensate production remained above 9 mb/d in July.</w:t>
      </w:r>
    </w:p>
    <w:p w14:paraId="57550128" w14:textId="77777777" w:rsidR="00ED238A" w:rsidRPr="00ED238A" w:rsidRDefault="00ED238A" w:rsidP="00ED238A">
      <w:pPr>
        <w:numPr>
          <w:ilvl w:val="0"/>
          <w:numId w:val="27"/>
        </w:numPr>
        <w:jc w:val="both"/>
        <w:rPr>
          <w:rFonts w:ascii="Times New Roman" w:hAnsi="Times New Roman" w:cs="Times New Roman"/>
        </w:rPr>
      </w:pPr>
      <w:r w:rsidRPr="00000380">
        <w:rPr>
          <w:rFonts w:ascii="Times New Roman" w:hAnsi="Times New Roman" w:cs="Times New Roman"/>
        </w:rPr>
        <w:t xml:space="preserve">On the narrower OPEC+ basis, the IEA estimates Russian crude at </w:t>
      </w:r>
      <w:r w:rsidRPr="00000380">
        <w:rPr>
          <w:rFonts w:ascii="Times New Roman" w:hAnsi="Times New Roman" w:cs="Times New Roman"/>
          <w:b/>
        </w:rPr>
        <w:t>8.76 mb/d</w:t>
      </w:r>
      <w:r w:rsidRPr="00000380">
        <w:rPr>
          <w:rFonts w:ascii="Times New Roman" w:hAnsi="Times New Roman" w:cs="Times New Roman"/>
        </w:rPr>
        <w:t xml:space="preserve">, compared with 8.86 in June and an implied target of 9.82 mb/d. </w:t>
      </w:r>
      <w:hyperlink r:id="rId20" w:history="1">
        <w:r w:rsidRPr="00ED238A">
          <w:rPr>
            <w:rStyle w:val="Hyperlink"/>
            <w:rFonts w:ascii="Times New Roman" w:hAnsi="Times New Roman" w:cs="Times New Roman"/>
          </w:rPr>
          <w:t>IEA, August</w:t>
        </w:r>
      </w:hyperlink>
      <w:r>
        <w:rPr>
          <w:noProof/>
        </w:rPr>
        <w:t/>
      </w:r>
      <w:r>
        <w:rPr>
          <w:rStyle w:val="FootnoteReference"/>
          <w:vertAlign w:val="superscript"/>
        </w:rPr>
        <w:footnoteReference w:id="15"/>
      </w:r>
      <w:r>
        <w:rPr>
          <w:rFonts w:ascii="Times New Roman" w:hAnsi="Times New Roman" w:cs="Times New Roman"/>
          <w:lang w:val="fr-FR"/>
        </w:rPr>
        <w:t>.</w:t>
      </w:r>
    </w:p>
    <w:p w14:paraId="731A3DC2" w14:textId="27AB1E8C" w:rsidR="00ED238A" w:rsidRPr="00000380" w:rsidRDefault="00ED238A" w:rsidP="00ED238A">
      <w:pPr>
        <w:jc w:val="both"/>
        <w:rPr>
          <w:rFonts w:ascii="Times New Roman" w:hAnsi="Times New Roman" w:cs="Times New Roman"/>
        </w:rPr>
      </w:pPr>
      <w:r w:rsidRPr="00000380">
        <w:rPr>
          <w:rFonts w:ascii="Times New Roman" w:hAnsi="Times New Roman" w:cs="Times New Roman"/>
        </w:rPr>
        <w:t>The Ukrainian campaign has therefore so far affected refining and logistics much more than wellhead production.</w:t>
      </w:r>
    </w:p>
    <w:p w14:paraId="50C040B3"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Refining</w:t>
      </w:r>
    </w:p>
    <w:p w14:paraId="7A7EEB5D" w14:textId="77777777" w:rsidR="00ED238A" w:rsidRPr="00000380"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 xml:space="preserve">Russian refinery runs are estimated at </w:t>
      </w:r>
      <w:r w:rsidRPr="00000380">
        <w:rPr>
          <w:rFonts w:ascii="Times New Roman" w:hAnsi="Times New Roman" w:cs="Times New Roman"/>
          <w:b/>
        </w:rPr>
        <w:t>3.7 mb/d in July</w:t>
      </w:r>
      <w:r w:rsidRPr="00000380">
        <w:rPr>
          <w:rFonts w:ascii="Times New Roman" w:hAnsi="Times New Roman" w:cs="Times New Roman"/>
        </w:rPr>
        <w:t>, around 28% below their 2025 average.</w:t>
      </w:r>
    </w:p>
    <w:p w14:paraId="721854E7" w14:textId="77777777" w:rsidR="00ED238A" w:rsidRPr="00000380"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As of 21 August, refineries had been hit 17 times since the beginning of the month, as many as during the whole of July.</w:t>
      </w:r>
    </w:p>
    <w:p w14:paraId="2A7E2784" w14:textId="77777777" w:rsidR="00ED238A" w:rsidRPr="00ED238A" w:rsidRDefault="00ED238A" w:rsidP="00ED238A">
      <w:pPr>
        <w:numPr>
          <w:ilvl w:val="0"/>
          <w:numId w:val="28"/>
        </w:numPr>
        <w:jc w:val="both"/>
        <w:rPr>
          <w:rFonts w:ascii="Times New Roman" w:hAnsi="Times New Roman" w:cs="Times New Roman"/>
        </w:rPr>
      </w:pPr>
      <w:r w:rsidRPr="00000380">
        <w:rPr>
          <w:rFonts w:ascii="Times New Roman" w:hAnsi="Times New Roman" w:cs="Times New Roman"/>
        </w:rPr>
        <w:t xml:space="preserve">Around 4.3 mb/d of capacity had been hit or placed under maintenance, but effective unavailability was instead estimated at </w:t>
      </w:r>
      <w:r w:rsidRPr="00000380">
        <w:rPr>
          <w:rFonts w:ascii="Times New Roman" w:hAnsi="Times New Roman" w:cs="Times New Roman"/>
          <w:b/>
        </w:rPr>
        <w:t>1.5–2 mb/d</w:t>
      </w:r>
      <w:r w:rsidRPr="00000380">
        <w:rPr>
          <w:rFonts w:ascii="Times New Roman" w:hAnsi="Times New Roman" w:cs="Times New Roman"/>
        </w:rPr>
        <w:t xml:space="preserve">. The nominal capacity of an affected site should not be equated with an actual production loss. </w:t>
      </w:r>
      <w:hyperlink r:id="rId21" w:history="1">
        <w:r w:rsidRPr="00ED238A">
          <w:rPr>
            <w:rStyle w:val="Hyperlink"/>
            <w:rFonts w:ascii="Times New Roman" w:hAnsi="Times New Roman" w:cs="Times New Roman"/>
          </w:rPr>
          <w:t>S&amp;P Global</w:t>
        </w:r>
      </w:hyperlink>
      <w:r>
        <w:rPr>
          <w:noProof/>
        </w:rPr>
        <w:t/>
      </w:r>
      <w:r>
        <w:rPr>
          <w:rStyle w:val="FootnoteReference"/>
          <w:vertAlign w:val="superscript"/>
        </w:rPr>
        <w:footnoteReference w:id="16"/>
      </w:r>
      <w:r>
        <w:rPr>
          <w:rFonts w:ascii="Times New Roman" w:hAnsi="Times New Roman" w:cs="Times New Roman"/>
          <w:lang w:val="fr-FR"/>
        </w:rPr>
        <w:t>.</w:t>
      </w:r>
    </w:p>
    <w:p w14:paraId="44BEC7B2"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Exports and diesel</w:t>
      </w:r>
    </w:p>
    <w:p w14:paraId="65FFE236"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Russian refined product exports fell to </w:t>
      </w:r>
      <w:r w:rsidRPr="00000380">
        <w:rPr>
          <w:rFonts w:ascii="Times New Roman" w:hAnsi="Times New Roman" w:cs="Times New Roman"/>
          <w:b/>
        </w:rPr>
        <w:t>1.18 mb/d in July</w:t>
      </w:r>
      <w:r w:rsidRPr="00000380">
        <w:rPr>
          <w:rFonts w:ascii="Times New Roman" w:hAnsi="Times New Roman" w:cs="Times New Roman"/>
        </w:rPr>
        <w:t>, compared with 1.51 in June, the lowest in S&amp;P's series since 2016.</w:t>
      </w:r>
    </w:p>
    <w:p w14:paraId="249616B3"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Diesel/gasoil exports fell from around 471 to </w:t>
      </w:r>
      <w:r w:rsidRPr="00000380">
        <w:rPr>
          <w:rFonts w:ascii="Times New Roman" w:hAnsi="Times New Roman" w:cs="Times New Roman"/>
          <w:b/>
        </w:rPr>
        <w:t>314 kb/d</w:t>
      </w:r>
      <w:r w:rsidRPr="00000380">
        <w:rPr>
          <w:rFonts w:ascii="Times New Roman" w:hAnsi="Times New Roman" w:cs="Times New Roman"/>
        </w:rPr>
        <w:t>.</w:t>
      </w:r>
    </w:p>
    <w:p w14:paraId="2CF185C7"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 xml:space="preserve">Conversely, refinery shutdowns initially freed up more crude for export: around </w:t>
      </w:r>
      <w:r w:rsidRPr="00000380">
        <w:rPr>
          <w:rFonts w:ascii="Times New Roman" w:hAnsi="Times New Roman" w:cs="Times New Roman"/>
          <w:b/>
        </w:rPr>
        <w:t>4.32 mb/d by sea in July</w:t>
      </w:r>
      <w:r w:rsidRPr="00000380">
        <w:rPr>
          <w:rFonts w:ascii="Times New Roman" w:hAnsi="Times New Roman" w:cs="Times New Roman"/>
        </w:rPr>
        <w:t>, up 26% year on year.</w:t>
      </w:r>
    </w:p>
    <w:p w14:paraId="48A5F856"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Strikes against Novorossiysk and the Sheskharis terminal now create a direct risk to crude exports, not only to products.</w:t>
      </w:r>
    </w:p>
    <w:p w14:paraId="2234DB4D" w14:textId="77777777" w:rsidR="00ED238A" w:rsidRPr="00000380" w:rsidRDefault="00ED238A" w:rsidP="00ED238A">
      <w:pPr>
        <w:numPr>
          <w:ilvl w:val="0"/>
          <w:numId w:val="29"/>
        </w:numPr>
        <w:jc w:val="both"/>
        <w:rPr>
          <w:rFonts w:ascii="Times New Roman" w:hAnsi="Times New Roman" w:cs="Times New Roman"/>
        </w:rPr>
      </w:pPr>
      <w:r w:rsidRPr="00000380">
        <w:rPr>
          <w:rFonts w:ascii="Times New Roman" w:hAnsi="Times New Roman" w:cs="Times New Roman"/>
        </w:rPr>
        <w:t>Moscow banned diesel exports in July. Russia is experiencing regional shortages and is importing gasoline and diesel from Belarus, Turkey or through cargoes originating in India.</w:t>
      </w:r>
    </w:p>
    <w:p w14:paraId="60CDED91" w14:textId="77777777" w:rsidR="00ED238A" w:rsidRPr="00ED238A" w:rsidRDefault="00ED238A" w:rsidP="00ED238A">
      <w:pPr>
        <w:numPr>
          <w:ilvl w:val="0"/>
          <w:numId w:val="29"/>
        </w:numPr>
        <w:jc w:val="both"/>
        <w:rPr>
          <w:rFonts w:ascii="Times New Roman" w:hAnsi="Times New Roman" w:cs="Times New Roman"/>
          <w:lang w:val="fr-FR"/>
        </w:rPr>
      </w:pPr>
      <w:r w:rsidRPr="00000380">
        <w:rPr>
          <w:rFonts w:ascii="Times New Roman" w:hAnsi="Times New Roman" w:cs="Times New Roman"/>
        </w:rPr>
        <w:lastRenderedPageBreak/>
        <w:t xml:space="preserve">The global impact is amplified by Middle Eastern disruptions: according to the IEA, seaborne diesel exports from Russia, the Middle East and Asia together fell by </w:t>
      </w:r>
      <w:r w:rsidRPr="00000380">
        <w:rPr>
          <w:rFonts w:ascii="Times New Roman" w:hAnsi="Times New Roman" w:cs="Times New Roman"/>
          <w:b/>
        </w:rPr>
        <w:t>1.3 mb/d year on year</w:t>
      </w:r>
      <w:r w:rsidRPr="00000380">
        <w:rPr>
          <w:rFonts w:ascii="Times New Roman" w:hAnsi="Times New Roman" w:cs="Times New Roman"/>
        </w:rPr>
        <w:t xml:space="preserve">, around 20% of global trade. </w:t>
      </w:r>
      <w:r>
        <w:rPr>
          <w:rFonts w:ascii="Times New Roman" w:hAnsi="Times New Roman" w:cs="Times New Roman"/>
          <w:lang w:val="fr-FR"/>
        </w:rPr>
        <w:t>European and US diesel cracks reached record highs.</w:t>
      </w:r>
    </w:p>
    <w:p w14:paraId="571FB049" w14:textId="36F2B54A" w:rsidR="00ED238A" w:rsidRPr="00000380" w:rsidRDefault="006674A7" w:rsidP="00ED238A">
      <w:pPr>
        <w:jc w:val="both"/>
        <w:rPr>
          <w:rFonts w:ascii="Times New Roman" w:hAnsi="Times New Roman" w:cs="Times New Roman"/>
        </w:rPr>
      </w:pPr>
      <w:r w:rsidRPr="00000380">
        <w:rPr>
          <w:rFonts w:ascii="Times New Roman" w:hAnsi="Times New Roman" w:cs="Times New Roman"/>
        </w:rPr>
        <w:t>Russia continues to produce crude, but it has lost a significant share of its capacity to process and export products. The main shock therefore currently concerns diesel and refining margins.</w:t>
      </w:r>
    </w:p>
    <w:p w14:paraId="75BACDD6"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5. Is Chinese demand picking up?</w:t>
      </w:r>
    </w:p>
    <w:p w14:paraId="772E56D4"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b/>
          <w:bCs/>
        </w:rPr>
        <w:t>Technical rebound, but not yet a convincing recovery in final demand.</w:t>
      </w:r>
    </w:p>
    <w:p w14:paraId="47C5F3DC" w14:textId="77777777" w:rsidR="00ED238A" w:rsidRPr="00ED238A"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Crude imports reached </w:t>
      </w:r>
      <w:r w:rsidRPr="00000380">
        <w:rPr>
          <w:rFonts w:ascii="Times New Roman" w:hAnsi="Times New Roman" w:cs="Times New Roman"/>
          <w:b/>
        </w:rPr>
        <w:t>8.41 mb/d in July</w:t>
      </w:r>
      <w:r w:rsidRPr="00000380">
        <w:rPr>
          <w:rFonts w:ascii="Times New Roman" w:hAnsi="Times New Roman" w:cs="Times New Roman"/>
        </w:rPr>
        <w:t xml:space="preserve">, up 22% from June but still down 24.3% year on year. In the second quarter, they were only 8.1 mb/d, down 32% from the previous quarter. </w:t>
      </w:r>
      <w:hyperlink r:id="rId22" w:history="1">
        <w:r w:rsidRPr="00ED238A">
          <w:rPr>
            <w:rStyle w:val="Hyperlink"/>
            <w:rFonts w:ascii="Times New Roman" w:hAnsi="Times New Roman" w:cs="Times New Roman"/>
          </w:rPr>
          <w:t>EIA, 31 July</w:t>
        </w:r>
      </w:hyperlink>
      <w:r>
        <w:rPr>
          <w:noProof/>
        </w:rPr>
        <w:t/>
      </w:r>
      <w:r>
        <w:rPr>
          <w:rStyle w:val="FootnoteReference"/>
          <w:vertAlign w:val="superscript"/>
        </w:rPr>
        <w:footnoteReference w:id="17"/>
      </w:r>
      <w:r>
        <w:rPr>
          <w:rFonts w:ascii="Times New Roman" w:hAnsi="Times New Roman" w:cs="Times New Roman"/>
          <w:lang w:val="fr-FR"/>
        </w:rPr>
        <w:t>.</w:t>
      </w:r>
    </w:p>
    <w:p w14:paraId="102907AE" w14:textId="77777777" w:rsidR="00ED238A" w:rsidRPr="00000380"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Refineries processed around </w:t>
      </w:r>
      <w:r w:rsidRPr="00000380">
        <w:rPr>
          <w:rFonts w:ascii="Times New Roman" w:hAnsi="Times New Roman" w:cs="Times New Roman"/>
          <w:b/>
        </w:rPr>
        <w:t>12.51 mb/d in July</w:t>
      </w:r>
      <w:r w:rsidRPr="00000380">
        <w:rPr>
          <w:rFonts w:ascii="Times New Roman" w:hAnsi="Times New Roman" w:cs="Times New Roman"/>
        </w:rPr>
        <w:t xml:space="preserve">, down 15.8% year on year. The manufacturing PMI fell back to 49.2. </w:t>
      </w:r>
      <w:hyperlink r:id="rId23" w:history="1">
        <w:r w:rsidRPr="00000380">
          <w:rPr>
            <w:rStyle w:val="Hyperlink"/>
            <w:rFonts w:ascii="Times New Roman" w:hAnsi="Times New Roman" w:cs="Times New Roman"/>
          </w:rPr>
          <w:t>National Bureau of Statistics</w:t>
        </w:r>
      </w:hyperlink>
      <w:r>
        <w:rPr>
          <w:noProof/>
        </w:rPr>
        <w:t/>
      </w:r>
      <w:r>
        <w:rPr>
          <w:rStyle w:val="FootnoteReference"/>
          <w:vertAlign w:val="superscript"/>
        </w:rPr>
        <w:footnoteReference w:id="18"/>
      </w:r>
      <w:r w:rsidRPr="00000380">
        <w:rPr>
          <w:rFonts w:ascii="Times New Roman" w:hAnsi="Times New Roman" w:cs="Times New Roman"/>
        </w:rPr>
        <w:t>.</w:t>
      </w:r>
    </w:p>
    <w:p w14:paraId="11186000" w14:textId="77777777" w:rsidR="00ED238A" w:rsidRPr="00000380"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The rebound in refinery runs is mainly supported by the easing of refined product export quotas and the need to rebuild domestic gasoline and diesel stocks.</w:t>
      </w:r>
    </w:p>
    <w:p w14:paraId="6F27A5E8" w14:textId="77777777" w:rsidR="00ED238A" w:rsidRPr="00ED238A" w:rsidRDefault="00ED238A" w:rsidP="00ED238A">
      <w:pPr>
        <w:numPr>
          <w:ilvl w:val="0"/>
          <w:numId w:val="30"/>
        </w:numPr>
        <w:jc w:val="both"/>
        <w:rPr>
          <w:rFonts w:ascii="Times New Roman" w:hAnsi="Times New Roman" w:cs="Times New Roman"/>
        </w:rPr>
      </w:pPr>
      <w:r w:rsidRPr="00000380">
        <w:rPr>
          <w:rFonts w:ascii="Times New Roman" w:hAnsi="Times New Roman" w:cs="Times New Roman"/>
        </w:rPr>
        <w:t xml:space="preserve">Kpler expects refinery crude demand to rise from 12.64 mb/d in July to 12.92 in August, 13.29 in September and 13.54 in October. Imports may nevertheless continue to lag behind refinery runs. </w:t>
      </w:r>
      <w:hyperlink r:id="rId24" w:history="1">
        <w:r w:rsidRPr="00ED238A">
          <w:rPr>
            <w:rStyle w:val="Hyperlink"/>
            <w:rFonts w:ascii="Times New Roman" w:hAnsi="Times New Roman" w:cs="Times New Roman"/>
          </w:rPr>
          <w:t>Kpler, 13 August</w:t>
        </w:r>
      </w:hyperlink>
      <w:r>
        <w:rPr>
          <w:noProof/>
        </w:rPr>
        <w:t/>
      </w:r>
      <w:r>
        <w:rPr>
          <w:rStyle w:val="FootnoteReference"/>
          <w:vertAlign w:val="superscript"/>
        </w:rPr>
        <w:footnoteReference w:id="19"/>
      </w:r>
      <w:r w:rsidRPr="00000380">
        <w:rPr>
          <w:rFonts w:ascii="Times New Roman" w:hAnsi="Times New Roman" w:cs="Times New Roman"/>
        </w:rPr>
        <w:t>.</w:t>
      </w:r>
    </w:p>
    <w:p w14:paraId="5F14A12D"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Who benefits?</w:t>
      </w:r>
    </w:p>
    <w:p w14:paraId="35782AC4"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In July, the partial reopening temporarily benefited Saudi Arabia and the UAE.</w:t>
      </w:r>
    </w:p>
    <w:p w14:paraId="5E0D7EDD"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 xml:space="preserve">For September–October deliveries, the main beneficiary is instead Russian </w:t>
      </w:r>
      <w:r w:rsidRPr="00000380">
        <w:rPr>
          <w:rFonts w:ascii="Times New Roman" w:hAnsi="Times New Roman" w:cs="Times New Roman"/>
          <w:b/>
        </w:rPr>
        <w:t>ESPO</w:t>
      </w:r>
      <w:r w:rsidRPr="00000380">
        <w:rPr>
          <w:rFonts w:ascii="Times New Roman" w:hAnsi="Times New Roman" w:cs="Times New Roman"/>
        </w:rPr>
        <w:t xml:space="preserve"> crude, delivered quickly from the Pacific. Most available cargoes were purchased by Chinese national companies and the Yulong refinery.</w:t>
      </w:r>
    </w:p>
    <w:p w14:paraId="46C8C012"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Small independent refineries are turning more towards Iranian crude.</w:t>
      </w:r>
    </w:p>
    <w:p w14:paraId="1E7D5FF0" w14:textId="77777777" w:rsidR="00ED238A"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Latin American producers and, occasionally, US WTI can benefit from diversification, but freight costs limit the Atlantic–Asia arbitrage.</w:t>
      </w:r>
    </w:p>
    <w:p w14:paraId="4AD63528" w14:textId="5CBC5FDE" w:rsidR="00B609B6" w:rsidRPr="00000380" w:rsidRDefault="00ED238A" w:rsidP="00ED238A">
      <w:pPr>
        <w:numPr>
          <w:ilvl w:val="0"/>
          <w:numId w:val="31"/>
        </w:numPr>
        <w:jc w:val="both"/>
        <w:rPr>
          <w:rFonts w:ascii="Times New Roman" w:hAnsi="Times New Roman" w:cs="Times New Roman"/>
        </w:rPr>
      </w:pPr>
      <w:r w:rsidRPr="00000380">
        <w:rPr>
          <w:rFonts w:ascii="Times New Roman" w:hAnsi="Times New Roman" w:cs="Times New Roman"/>
        </w:rPr>
        <w:t>Saudi volumes to Asia are penalised by the detour from Yanbu: some Chinese refiners have reduced or considered cancelling their nominations.</w:t>
      </w:r>
    </w:p>
    <w:p w14:paraId="3AB56A50" w14:textId="3EAC119B" w:rsidR="00ED238A" w:rsidRPr="00000380" w:rsidRDefault="00B609B6" w:rsidP="00B609B6">
      <w:pPr>
        <w:rPr>
          <w:rFonts w:ascii="Times New Roman" w:hAnsi="Times New Roman" w:cs="Times New Roman"/>
        </w:rPr>
      </w:pPr>
      <w:r w:rsidRPr="00000380">
        <w:rPr>
          <w:rFonts w:ascii="Times New Roman" w:hAnsi="Times New Roman" w:cs="Times New Roman"/>
        </w:rPr>
        <w:br w:type="page"/>
      </w:r>
    </w:p>
    <w:p w14:paraId="16C21780"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lastRenderedPageBreak/>
        <w:t>Uncertainty over Chinese stocks</w:t>
      </w:r>
    </w:p>
    <w:p w14:paraId="2F0C466B"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China does not publish an official series. An apparent balance suggests a build of around 0.2 mb/d in July, while the IEA estimates that stocks continued to decline. Their direction should therefore be presented as uncertain.</w:t>
      </w:r>
    </w:p>
    <w:p w14:paraId="04F64433"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b/>
        </w:rPr>
        <w:t>Conclusion:</w:t>
      </w:r>
      <w:r w:rsidRPr="00000380">
        <w:rPr>
          <w:rFonts w:ascii="Times New Roman" w:hAnsi="Times New Roman" w:cs="Times New Roman"/>
        </w:rPr>
        <w:t xml:space="preserve"> China is not yet experiencing a genuine consumption boom, but it could move from a buffer role — lower imports and use of stocks — to a tightening factor if refinery runs rise on a sustained basis.</w:t>
      </w:r>
    </w:p>
    <w:p w14:paraId="76A31D62"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6. What is the overall balance and what about stocks?</w:t>
      </w:r>
    </w:p>
    <w:p w14:paraId="6AAB3607"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IEA view</w:t>
      </w:r>
    </w:p>
    <w:p w14:paraId="4544AD71"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Global demand in 2026: </w:t>
      </w:r>
      <w:r w:rsidRPr="00000380">
        <w:rPr>
          <w:rFonts w:ascii="Times New Roman" w:hAnsi="Times New Roman" w:cs="Times New Roman"/>
          <w:b/>
        </w:rPr>
        <w:t>−1.6 mb/d</w:t>
      </w:r>
      <w:r w:rsidRPr="00000380">
        <w:rPr>
          <w:rFonts w:ascii="Times New Roman" w:hAnsi="Times New Roman" w:cs="Times New Roman"/>
        </w:rPr>
        <w:t>, a downward revision of 510 kb/d; return to growth of 580 kb/d in the fourth quarter and +2.4 mb/d in 2027.</w:t>
      </w:r>
    </w:p>
    <w:p w14:paraId="76BEAE66" w14:textId="77777777" w:rsidR="00ED238A" w:rsidRPr="00ED238A"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Global supply in July: </w:t>
      </w:r>
      <w:r w:rsidRPr="00000380">
        <w:rPr>
          <w:rFonts w:ascii="Times New Roman" w:hAnsi="Times New Roman" w:cs="Times New Roman"/>
          <w:b/>
        </w:rPr>
        <w:t>101.5 mb/d</w:t>
      </w:r>
      <w:r w:rsidRPr="00000380">
        <w:rPr>
          <w:rFonts w:ascii="Times New Roman" w:hAnsi="Times New Roman" w:cs="Times New Roman"/>
        </w:rPr>
        <w:t xml:space="preserve">, up 2.4 mb/d month on month but down 6.3 mb/d year on year. </w:t>
      </w:r>
      <w:r>
        <w:rPr>
          <w:rFonts w:ascii="Times New Roman" w:hAnsi="Times New Roman" w:cs="Times New Roman"/>
          <w:lang w:val="fr-FR"/>
        </w:rPr>
        <w:t>Around 8.3 mb/d of Gulf production remained shut in.</w:t>
      </w:r>
    </w:p>
    <w:p w14:paraId="0C3583E8"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Expected third-quarter deficit: </w:t>
      </w:r>
      <w:r w:rsidRPr="00000380">
        <w:rPr>
          <w:rFonts w:ascii="Times New Roman" w:hAnsi="Times New Roman" w:cs="Times New Roman"/>
          <w:b/>
        </w:rPr>
        <w:t>1.8 mb/d</w:t>
      </w:r>
      <w:r w:rsidRPr="00000380">
        <w:rPr>
          <w:rFonts w:ascii="Times New Roman" w:hAnsi="Times New Roman" w:cs="Times New Roman"/>
        </w:rPr>
        <w:t>, compared with 0.8 mb/d estimated one month earlier.</w:t>
      </w:r>
    </w:p>
    <w:p w14:paraId="7C1210B4" w14:textId="77777777" w:rsidR="00ED238A" w:rsidRPr="00ED238A"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 xml:space="preserve">Observed global stocks: </w:t>
      </w:r>
      <w:r w:rsidRPr="00000380">
        <w:rPr>
          <w:rFonts w:ascii="Times New Roman" w:hAnsi="Times New Roman" w:cs="Times New Roman"/>
          <w:b/>
        </w:rPr>
        <w:t>−69 Mb in July</w:t>
      </w:r>
      <w:r w:rsidRPr="00000380">
        <w:rPr>
          <w:rFonts w:ascii="Times New Roman" w:hAnsi="Times New Roman" w:cs="Times New Roman"/>
        </w:rPr>
        <w:t xml:space="preserve"> and </w:t>
      </w:r>
      <w:r w:rsidRPr="00000380">
        <w:rPr>
          <w:rFonts w:ascii="Times New Roman" w:hAnsi="Times New Roman" w:cs="Times New Roman"/>
          <w:b/>
        </w:rPr>
        <w:t>−410 Mb since the end of February</w:t>
      </w:r>
      <w:r w:rsidRPr="00000380">
        <w:rPr>
          <w:rFonts w:ascii="Times New Roman" w:hAnsi="Times New Roman" w:cs="Times New Roman"/>
        </w:rPr>
        <w:t xml:space="preserve">. </w:t>
      </w:r>
      <w:r>
        <w:rPr>
          <w:rFonts w:ascii="Times New Roman" w:hAnsi="Times New Roman" w:cs="Times New Roman"/>
          <w:lang w:val="fr-FR"/>
        </w:rPr>
        <w:t>The total fell below 7.9 billion barrels.</w:t>
      </w:r>
    </w:p>
    <w:p w14:paraId="5C17B6C9" w14:textId="77777777" w:rsidR="00ED238A" w:rsidRPr="00000380" w:rsidRDefault="00ED238A" w:rsidP="00ED238A">
      <w:pPr>
        <w:numPr>
          <w:ilvl w:val="0"/>
          <w:numId w:val="32"/>
        </w:numPr>
        <w:jc w:val="both"/>
        <w:rPr>
          <w:rFonts w:ascii="Times New Roman" w:hAnsi="Times New Roman" w:cs="Times New Roman"/>
        </w:rPr>
      </w:pPr>
      <w:r w:rsidRPr="00000380">
        <w:rPr>
          <w:rFonts w:ascii="Times New Roman" w:hAnsi="Times New Roman" w:cs="Times New Roman"/>
        </w:rPr>
        <w:t>Global refinery runs: 80.9 mb/d, almost 5 mb/d below their 2025 level.</w:t>
      </w:r>
    </w:p>
    <w:p w14:paraId="14CC1E5B" w14:textId="77777777" w:rsidR="00ED238A" w:rsidRPr="00ED238A" w:rsidRDefault="00ED238A" w:rsidP="00ED238A">
      <w:pPr>
        <w:jc w:val="both"/>
        <w:rPr>
          <w:rFonts w:ascii="Times New Roman" w:hAnsi="Times New Roman" w:cs="Times New Roman"/>
        </w:rPr>
      </w:pPr>
      <w:hyperlink r:id="rId25" w:history="1">
        <w:r w:rsidRPr="00ED238A">
          <w:rPr>
            <w:rStyle w:val="Hyperlink"/>
            <w:rFonts w:ascii="Times New Roman" w:hAnsi="Times New Roman" w:cs="Times New Roman"/>
          </w:rPr>
          <w:t>IEA, Oil Market Report – August 2026</w:t>
        </w:r>
      </w:hyperlink>
      <w:r>
        <w:rPr>
          <w:noProof/>
        </w:rPr>
        <w:t/>
      </w:r>
      <w:r>
        <w:rPr>
          <w:rStyle w:val="FootnoteReference"/>
          <w:vertAlign w:val="superscript"/>
        </w:rPr>
        <w:footnoteReference w:id="20"/>
      </w:r>
      <w:r>
        <w:rPr>
          <w:rFonts w:ascii="Times New Roman" w:hAnsi="Times New Roman" w:cs="Times New Roman"/>
        </w:rPr>
        <w:t>.</w:t>
      </w:r>
    </w:p>
    <w:p w14:paraId="75B53AA8" w14:textId="77777777" w:rsidR="00ED238A" w:rsidRPr="00000380" w:rsidRDefault="00ED238A" w:rsidP="00ED238A">
      <w:pPr>
        <w:jc w:val="both"/>
        <w:rPr>
          <w:rFonts w:ascii="Times New Roman" w:hAnsi="Times New Roman" w:cs="Times New Roman"/>
          <w:b/>
          <w:bCs/>
        </w:rPr>
      </w:pPr>
      <w:r w:rsidRPr="00000380">
        <w:rPr>
          <w:rFonts w:ascii="Times New Roman" w:hAnsi="Times New Roman" w:cs="Times New Roman"/>
          <w:b/>
          <w:bCs/>
        </w:rPr>
        <w:t>OPEC view</w:t>
      </w:r>
    </w:p>
    <w:p w14:paraId="449848AD" w14:textId="77777777" w:rsidR="00ED238A" w:rsidRPr="00000380" w:rsidRDefault="00ED238A" w:rsidP="00ED238A">
      <w:pPr>
        <w:jc w:val="both"/>
        <w:rPr>
          <w:rFonts w:ascii="Times New Roman" w:hAnsi="Times New Roman" w:cs="Times New Roman"/>
        </w:rPr>
      </w:pPr>
      <w:r w:rsidRPr="00000380">
        <w:rPr>
          <w:rFonts w:ascii="Times New Roman" w:hAnsi="Times New Roman" w:cs="Times New Roman"/>
        </w:rPr>
        <w:t xml:space="preserve">OPEC remains significantly less bearish: it still expects demand to rise by </w:t>
      </w:r>
      <w:r w:rsidRPr="00000380">
        <w:rPr>
          <w:rFonts w:ascii="Times New Roman" w:hAnsi="Times New Roman" w:cs="Times New Roman"/>
          <w:b/>
        </w:rPr>
        <w:t>0.58 mb/d in 2026</w:t>
      </w:r>
      <w:r w:rsidRPr="00000380">
        <w:rPr>
          <w:rFonts w:ascii="Times New Roman" w:hAnsi="Times New Roman" w:cs="Times New Roman"/>
        </w:rPr>
        <w:t>, compared with a decline of 1.6 mb/d for the IEA. The gap of around 2.2 mb/d mainly reflects different assumptions about the duration of the conflict, demand destruction and product availability.</w:t>
      </w:r>
    </w:p>
    <w:p w14:paraId="2128E240" w14:textId="77777777" w:rsidR="00ED238A" w:rsidRPr="00ED238A" w:rsidRDefault="00ED238A" w:rsidP="00ED238A">
      <w:pPr>
        <w:jc w:val="both"/>
        <w:rPr>
          <w:rFonts w:ascii="Times New Roman" w:hAnsi="Times New Roman" w:cs="Times New Roman"/>
        </w:rPr>
      </w:pPr>
      <w:r w:rsidRPr="00000380">
        <w:rPr>
          <w:rFonts w:ascii="Times New Roman" w:hAnsi="Times New Roman" w:cs="Times New Roman"/>
        </w:rPr>
        <w:t xml:space="preserve">OECD commercial stocks stood at 2.729 billion barrels at the end of June, </w:t>
      </w:r>
      <w:r w:rsidRPr="00000380">
        <w:rPr>
          <w:rFonts w:ascii="Times New Roman" w:hAnsi="Times New Roman" w:cs="Times New Roman"/>
          <w:b/>
        </w:rPr>
        <w:t>66.5 Mb below their five-year average</w:t>
      </w:r>
      <w:r w:rsidRPr="00000380">
        <w:rPr>
          <w:rFonts w:ascii="Times New Roman" w:hAnsi="Times New Roman" w:cs="Times New Roman"/>
        </w:rPr>
        <w:t xml:space="preserve">, representing 58.7 days of cover. </w:t>
      </w:r>
      <w:hyperlink r:id="rId26" w:history="1">
        <w:r w:rsidRPr="00ED238A">
          <w:rPr>
            <w:rStyle w:val="Hyperlink"/>
            <w:rFonts w:ascii="Times New Roman" w:hAnsi="Times New Roman" w:cs="Times New Roman"/>
          </w:rPr>
          <w:t>OPEC, MOMR August 2026</w:t>
        </w:r>
      </w:hyperlink>
      <w:r>
        <w:rPr>
          <w:noProof/>
        </w:rPr>
        <w:t/>
      </w:r>
      <w:r>
        <w:rPr>
          <w:rStyle w:val="FootnoteReference"/>
          <w:vertAlign w:val="superscript"/>
        </w:rPr>
        <w:footnoteReference w:id="21"/>
      </w:r>
      <w:r>
        <w:rPr>
          <w:rFonts w:ascii="Times New Roman" w:hAnsi="Times New Roman" w:cs="Times New Roman"/>
          <w:lang w:val="fr-FR"/>
        </w:rPr>
        <w:t>.</w:t>
      </w:r>
    </w:p>
    <w:p w14:paraId="387C7D14" w14:textId="77777777" w:rsidR="00ED238A" w:rsidRPr="00ED238A" w:rsidRDefault="00ED238A" w:rsidP="00ED238A">
      <w:pPr>
        <w:jc w:val="both"/>
        <w:rPr>
          <w:rFonts w:ascii="Times New Roman" w:hAnsi="Times New Roman" w:cs="Times New Roman"/>
          <w:b/>
          <w:bCs/>
        </w:rPr>
      </w:pPr>
      <w:r>
        <w:rPr>
          <w:rFonts w:ascii="Times New Roman" w:hAnsi="Times New Roman" w:cs="Times New Roman"/>
          <w:b/>
          <w:bCs/>
        </w:rPr>
        <w:t>United States and emergency stocks</w:t>
      </w:r>
    </w:p>
    <w:p w14:paraId="1AD73B37" w14:textId="77777777" w:rsidR="00ED238A" w:rsidRPr="00000380"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US commercial stocks increased by </w:t>
      </w:r>
      <w:r w:rsidRPr="00000380">
        <w:rPr>
          <w:rFonts w:ascii="Times New Roman" w:hAnsi="Times New Roman" w:cs="Times New Roman"/>
          <w:b/>
        </w:rPr>
        <w:t>17.4 Mb</w:t>
      </w:r>
      <w:r w:rsidRPr="00000380">
        <w:rPr>
          <w:rFonts w:ascii="Times New Roman" w:hAnsi="Times New Roman" w:cs="Times New Roman"/>
        </w:rPr>
        <w:t xml:space="preserve">, then by </w:t>
      </w:r>
      <w:r w:rsidRPr="00000380">
        <w:rPr>
          <w:rFonts w:ascii="Times New Roman" w:hAnsi="Times New Roman" w:cs="Times New Roman"/>
          <w:b/>
        </w:rPr>
        <w:t>4.4 Mb</w:t>
      </w:r>
      <w:r w:rsidRPr="00000380">
        <w:rPr>
          <w:rFonts w:ascii="Times New Roman" w:hAnsi="Times New Roman" w:cs="Times New Roman"/>
        </w:rPr>
        <w:t xml:space="preserve"> in the weeks ending 7 and 14 August.</w:t>
      </w:r>
    </w:p>
    <w:p w14:paraId="4E076361" w14:textId="77777777" w:rsidR="00ED238A" w:rsidRPr="00ED238A"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At the same time, the US Strategic Petroleum Reserve fell by 5.3 Mb during the latest week, to around 293.4 Mb. The increase in commercial stocks is therefore partly offset by the drawdown of public reserves. </w:t>
      </w:r>
      <w:hyperlink r:id="rId27" w:history="1">
        <w:r w:rsidRPr="00ED238A">
          <w:rPr>
            <w:rStyle w:val="Hyperlink"/>
            <w:rFonts w:ascii="Times New Roman" w:hAnsi="Times New Roman" w:cs="Times New Roman"/>
          </w:rPr>
          <w:t>EIA, weekly stocks</w:t>
        </w:r>
      </w:hyperlink>
      <w:r>
        <w:rPr>
          <w:noProof/>
        </w:rPr>
        <w:t/>
      </w:r>
      <w:r>
        <w:rPr>
          <w:rStyle w:val="FootnoteReference"/>
          <w:vertAlign w:val="superscript"/>
        </w:rPr>
        <w:footnoteReference w:id="22"/>
      </w:r>
      <w:r>
        <w:rPr>
          <w:rFonts w:ascii="Times New Roman" w:hAnsi="Times New Roman" w:cs="Times New Roman"/>
          <w:lang w:val="fr-FR"/>
        </w:rPr>
        <w:t>.</w:t>
      </w:r>
    </w:p>
    <w:p w14:paraId="0C7C5523" w14:textId="77777777" w:rsidR="00ED238A" w:rsidRPr="00ED238A" w:rsidRDefault="00ED238A" w:rsidP="00ED238A">
      <w:pPr>
        <w:numPr>
          <w:ilvl w:val="0"/>
          <w:numId w:val="33"/>
        </w:numPr>
        <w:jc w:val="both"/>
        <w:rPr>
          <w:rFonts w:ascii="Times New Roman" w:hAnsi="Times New Roman" w:cs="Times New Roman"/>
        </w:rPr>
      </w:pPr>
      <w:r w:rsidRPr="00000380">
        <w:rPr>
          <w:rFonts w:ascii="Times New Roman" w:hAnsi="Times New Roman" w:cs="Times New Roman"/>
        </w:rPr>
        <w:t xml:space="preserve">IEA countries announced in March that </w:t>
      </w:r>
      <w:r w:rsidRPr="00000380">
        <w:rPr>
          <w:rFonts w:ascii="Times New Roman" w:hAnsi="Times New Roman" w:cs="Times New Roman"/>
          <w:b/>
        </w:rPr>
        <w:t>400 Mb of emergency reserves</w:t>
      </w:r>
      <w:r w:rsidRPr="00000380">
        <w:rPr>
          <w:rFonts w:ascii="Times New Roman" w:hAnsi="Times New Roman" w:cs="Times New Roman"/>
        </w:rPr>
        <w:t xml:space="preserve"> would be made available, the largest coordinated operation in their history. </w:t>
      </w:r>
      <w:r>
        <w:rPr>
          <w:rFonts w:ascii="Times New Roman" w:hAnsi="Times New Roman" w:cs="Times New Roman"/>
          <w:lang w:val="fr-FR"/>
        </w:rPr>
        <w:t xml:space="preserve">Its pace is now slowing. </w:t>
      </w:r>
      <w:hyperlink r:id="rId28" w:history="1">
        <w:r w:rsidRPr="00ED238A">
          <w:rPr>
            <w:rStyle w:val="Hyperlink"/>
            <w:rFonts w:ascii="Times New Roman" w:hAnsi="Times New Roman" w:cs="Times New Roman"/>
          </w:rPr>
          <w:t>IEA</w:t>
        </w:r>
      </w:hyperlink>
      <w:r>
        <w:rPr>
          <w:noProof/>
        </w:rPr>
        <w:t/>
      </w:r>
      <w:r>
        <w:rPr>
          <w:rStyle w:val="FootnoteReference"/>
          <w:vertAlign w:val="superscript"/>
        </w:rPr>
        <w:footnoteReference w:id="23"/>
      </w:r>
      <w:r>
        <w:rPr>
          <w:rFonts w:ascii="Times New Roman" w:hAnsi="Times New Roman" w:cs="Times New Roman"/>
          <w:lang w:val="fr-FR"/>
        </w:rPr>
        <w:t>.</w:t>
      </w:r>
    </w:p>
    <w:p w14:paraId="18DACB7A" w14:textId="3F510244" w:rsidR="00ED238A" w:rsidRPr="00ED238A" w:rsidRDefault="003E790E" w:rsidP="00ED238A">
      <w:pPr>
        <w:jc w:val="both"/>
        <w:rPr>
          <w:rFonts w:ascii="Times New Roman" w:hAnsi="Times New Roman" w:cs="Times New Roman"/>
          <w:b/>
          <w:bCs/>
        </w:rPr>
      </w:pPr>
      <w:r>
        <w:rPr>
          <w:rFonts w:ascii="Times New Roman" w:hAnsi="Times New Roman" w:cs="Times New Roman"/>
          <w:b/>
          <w:bCs/>
        </w:rPr>
        <w:lastRenderedPageBreak/>
        <w:t xml:space="preserve">Overall: </w:t>
      </w:r>
    </w:p>
    <w:p w14:paraId="1CBCBDCC"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short term:</w:t>
      </w:r>
      <w:r w:rsidRPr="00000380">
        <w:rPr>
          <w:rFonts w:ascii="Times New Roman" w:hAnsi="Times New Roman" w:cs="Times New Roman"/>
        </w:rPr>
        <w:t xml:space="preserve"> a deficit market, low stocks, fragmented logistics and particularly acute tightness in refined products.</w:t>
      </w:r>
    </w:p>
    <w:p w14:paraId="0FC9F09D"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event of a sustained reopening:</w:t>
      </w:r>
      <w:r w:rsidRPr="00000380">
        <w:rPr>
          <w:rFonts w:ascii="Times New Roman" w:hAnsi="Times New Roman" w:cs="Times New Roman"/>
        </w:rPr>
        <w:t xml:space="preserve"> a rapid recovery in Gulf supply and the possibility of a return to surplus towards the end of 2026.</w:t>
      </w:r>
    </w:p>
    <w:p w14:paraId="51205EAC"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event of a prolonged blockage:</w:t>
      </w:r>
      <w:r w:rsidRPr="00000380">
        <w:rPr>
          <w:rFonts w:ascii="Times New Roman" w:hAnsi="Times New Roman" w:cs="Times New Roman"/>
        </w:rPr>
        <w:t xml:space="preserve"> continued stock draws and upside risk particularly for diesel, jet fuel, freight and refining margins.</w:t>
      </w:r>
    </w:p>
    <w:p w14:paraId="61DCC9B2" w14:textId="77777777" w:rsidR="00ED238A" w:rsidRPr="00000380" w:rsidRDefault="00ED238A" w:rsidP="00ED238A">
      <w:pPr>
        <w:numPr>
          <w:ilvl w:val="0"/>
          <w:numId w:val="34"/>
        </w:numPr>
        <w:jc w:val="both"/>
        <w:rPr>
          <w:rFonts w:ascii="Times New Roman" w:hAnsi="Times New Roman" w:cs="Times New Roman"/>
        </w:rPr>
      </w:pPr>
      <w:r w:rsidRPr="00000380">
        <w:rPr>
          <w:rFonts w:ascii="Times New Roman" w:hAnsi="Times New Roman" w:cs="Times New Roman"/>
          <w:b/>
        </w:rPr>
        <w:t>In the medium term:</w:t>
      </w:r>
      <w:r w:rsidRPr="00000380">
        <w:rPr>
          <w:rFonts w:ascii="Times New Roman" w:hAnsi="Times New Roman" w:cs="Times New Roman"/>
        </w:rPr>
        <w:t xml:space="preserve"> the IEA expects supply to increase by 8.3 mb/d in 2027, well above the expected recovery in demand. The market could therefore shift abruptly from a physical shortage to a surplus if the sea lanes reopen.</w:t>
      </w:r>
    </w:p>
    <w:p w14:paraId="18EC2FA7" w14:textId="77777777" w:rsidR="00651060" w:rsidRPr="00000380" w:rsidRDefault="00651060" w:rsidP="00ED238A">
      <w:pPr>
        <w:jc w:val="both"/>
        <w:rPr>
          <w:rFonts w:ascii="Times New Roman" w:hAnsi="Times New Roman" w:cs="Times New Roman"/>
        </w:rPr>
      </w:pPr>
    </w:p>
    <w:sectPr w:rsidR="00651060" w:rsidRPr="00000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pPr>
        <w:pStyle w:val="FootnoteText"/>
        <w:spacing w:before="0" w:after="0"/>
      </w:pPr>
      <w:r>
        <w:rPr>
          <w:sz w:val="16"/>
          <w:szCs w:val="16"/>
          <w:rStyle w:val="FootnoteReference"/>
          <w:vertAlign w:val="superscript"/>
        </w:rPr>
        <w:footnoteRef/>
      </w:r>
      <w:r>
        <w:rPr>
          <w:sz w:val="16"/>
          <w:szCs w:val="16"/>
        </w:rPr>
        <w:t> IEA, Oil Market Report – August 2026: “as high as $105/bbl on 23 July”; “around $92/bbl.” Web page, section “Disconnects”.</w:t>
      </w:r>
    </w:p>
  </w:footnote>
  <w:footnote w:id="2">
    <w:p>
      <w:pPr>
        <w:pStyle w:val="FootnoteText"/>
        <w:spacing w:before="0" w:after="0"/>
      </w:pPr>
      <w:r>
        <w:rPr>
          <w:sz w:val="16"/>
          <w:szCs w:val="16"/>
          <w:rStyle w:val="FootnoteReference"/>
          <w:vertAlign w:val="superscript"/>
        </w:rPr>
        <w:footnoteRef/>
      </w:r>
      <w:r>
        <w:rPr>
          <w:sz w:val="16"/>
          <w:szCs w:val="16"/>
        </w:rPr>
        <w:t> IEA, Strait of Hormuz 2026 Factsheet: “20 mb/d, around 25% world seaborne oil trade”; “In 2025, nearly 15 mb/d of crude oil.” PDF, pp. 1–2.</w:t>
      </w:r>
    </w:p>
  </w:footnote>
  <w:footnote w:id="3">
    <w:p>
      <w:pPr>
        <w:pStyle w:val="FootnoteText"/>
        <w:spacing w:before="0" w:after="0"/>
      </w:pPr>
      <w:r>
        <w:rPr>
          <w:sz w:val="16"/>
          <w:szCs w:val="16"/>
          <w:rStyle w:val="FootnoteReference"/>
          <w:vertAlign w:val="superscript"/>
        </w:rPr>
        <w:footnoteRef/>
      </w:r>
      <w:r>
        <w:rPr>
          <w:sz w:val="16"/>
          <w:szCs w:val="16"/>
        </w:rPr>
        <w:t> EIA, Energy Security Analysis: “Total oil flows through the Strait of Hormuz ... 21.6 ... 4.9.” Web page, Table 4, columns 4Q25 and 2Q26.</w:t>
      </w:r>
    </w:p>
  </w:footnote>
  <w:footnote w:id="4">
    <w:p>
      <w:pPr>
        <w:pStyle w:val="FootnoteText"/>
        <w:spacing w:before="0" w:after="0"/>
      </w:pPr>
      <w:r>
        <w:rPr>
          <w:sz w:val="16"/>
          <w:szCs w:val="16"/>
          <w:rStyle w:val="FootnoteReference"/>
          <w:vertAlign w:val="superscript"/>
        </w:rPr>
        <w:footnoteRef/>
      </w:r>
      <w:r>
        <w:rPr>
          <w:sz w:val="16"/>
          <w:szCs w:val="16"/>
        </w:rPr>
        <w:t> Kpler, 19 August 2026: “Crude clearance ... ran at 6.1 mbd ... around 40%”; “final-week loadings near 4.9 mbd ... confirmed clearance of 2.3 mbd.” Web page, “Key takeaways”, bullets 2 and 6.</w:t>
      </w:r>
    </w:p>
  </w:footnote>
  <w:footnote w:id="5">
    <w:p>
      <w:pPr>
        <w:pStyle w:val="FootnoteText"/>
        <w:spacing w:before="0" w:after="0"/>
      </w:pPr>
      <w:r>
        <w:rPr>
          <w:sz w:val="16"/>
          <w:szCs w:val="16"/>
          <w:rStyle w:val="FootnoteReference"/>
          <w:vertAlign w:val="superscript"/>
        </w:rPr>
        <w:footnoteRef/>
      </w:r>
      <w:r>
        <w:rPr>
          <w:sz w:val="16"/>
          <w:szCs w:val="16"/>
        </w:rPr>
        <w:t> Reuters, 24 August 2026: “Four vessels crossed the strait on Sunday ... with 13 on Saturday.” Web page, second paragraph.</w:t>
      </w:r>
    </w:p>
  </w:footnote>
  <w:footnote w:id="6">
    <w:p>
      <w:pPr>
        <w:pStyle w:val="FootnoteText"/>
        <w:spacing w:before="0" w:after="0"/>
      </w:pPr>
      <w:r>
        <w:rPr>
          <w:sz w:val="16"/>
          <w:szCs w:val="16"/>
          <w:rStyle w:val="FootnoteReference"/>
          <w:vertAlign w:val="superscript"/>
        </w:rPr>
        <w:footnoteRef/>
      </w:r>
      <w:r>
        <w:rPr>
          <w:sz w:val="16"/>
          <w:szCs w:val="16"/>
        </w:rPr>
        <w:t> Lloyd’s List Intelligence, 19 August 2026: “TD3C Middle East Gulf-China earnings are now above $520,000 per day.” Web page, “Key takeaways”.</w:t>
      </w:r>
    </w:p>
  </w:footnote>
  <w:footnote w:id="7">
    <w:p>
      <w:pPr>
        <w:pStyle w:val="FootnoteText"/>
        <w:spacing w:before="0" w:after="0"/>
      </w:pPr>
      <w:r>
        <w:rPr>
          <w:sz w:val="16"/>
          <w:szCs w:val="16"/>
          <w:rStyle w:val="FootnoteReference"/>
          <w:vertAlign w:val="superscript"/>
        </w:rPr>
        <w:footnoteRef/>
      </w:r>
      <w:r>
        <w:rPr>
          <w:sz w:val="16"/>
          <w:szCs w:val="16"/>
        </w:rPr>
        <w:t> EIA, Energy Security Analysis: “Total oil flows through the Bab el-Mandeb Strait ... 5.4 ... 8.1.” Web page, Table 6, columns 4Q25 and 2Q26.</w:t>
      </w:r>
    </w:p>
  </w:footnote>
  <w:footnote w:id="8">
    <w:p>
      <w:pPr>
        <w:pStyle w:val="FootnoteText"/>
        <w:spacing w:before="0" w:after="0"/>
      </w:pPr>
      <w:r>
        <w:rPr>
          <w:sz w:val="16"/>
          <w:szCs w:val="16"/>
          <w:rStyle w:val="FootnoteReference"/>
          <w:vertAlign w:val="superscript"/>
        </w:rPr>
        <w:footnoteRef/>
      </w:r>
      <w:r>
        <w:rPr>
          <w:sz w:val="16"/>
          <w:szCs w:val="16"/>
        </w:rPr>
        <w:t> Lloyd’s List Intelligence, 20 August 2026: “At least 252 transits were recorded last week”; “296 transits, compared with 265 ... following the 20 July restrictions.” Web page, “Key takeaways”.</w:t>
      </w:r>
    </w:p>
  </w:footnote>
  <w:footnote w:id="9">
    <w:p>
      <w:pPr>
        <w:pStyle w:val="FootnoteText"/>
        <w:spacing w:before="0" w:after="0"/>
      </w:pPr>
      <w:r>
        <w:rPr>
          <w:sz w:val="16"/>
          <w:szCs w:val="16"/>
          <w:rStyle w:val="FootnoteReference"/>
          <w:vertAlign w:val="superscript"/>
        </w:rPr>
        <w:footnoteRef/>
      </w:r>
      <w:r>
        <w:rPr>
          <w:sz w:val="16"/>
          <w:szCs w:val="16"/>
        </w:rPr>
        <w:t> Kpler, 24 July 2026: “This would double transit time on the Yanbu–South Korea route, from approximately 24 days to 54 days.” Web page, section “Red Sea strikes should not lead to massive Saudi supply shut-ins”.</w:t>
      </w:r>
    </w:p>
  </w:footnote>
  <w:footnote w:id="10">
    <w:p>
      <w:pPr>
        <w:pStyle w:val="FootnoteText"/>
        <w:spacing w:before="0" w:after="0"/>
      </w:pPr>
      <w:r>
        <w:rPr>
          <w:sz w:val="16"/>
          <w:szCs w:val="16"/>
          <w:rStyle w:val="FootnoteReference"/>
          <w:vertAlign w:val="superscript"/>
        </w:rPr>
        <w:footnoteRef/>
      </w:r>
      <w:r>
        <w:rPr>
          <w:sz w:val="16"/>
          <w:szCs w:val="16"/>
        </w:rPr>
        <w:t> OilPrice, 21 August 2026: “This route adds nearly a month to the time in which Saudi oil supply could reach refiners in Asia.” Web page, seventh article paragraph.</w:t>
      </w:r>
    </w:p>
  </w:footnote>
  <w:footnote w:id="11">
    <w:p>
      <w:pPr>
        <w:pStyle w:val="FootnoteText"/>
        <w:spacing w:before="0" w:after="0"/>
      </w:pPr>
      <w:r>
        <w:rPr>
          <w:sz w:val="16"/>
          <w:szCs w:val="16"/>
          <w:rStyle w:val="FootnoteReference"/>
          <w:vertAlign w:val="superscript"/>
        </w:rPr>
        <w:footnoteRef/>
      </w:r>
      <w:r>
        <w:rPr>
          <w:sz w:val="16"/>
          <w:szCs w:val="16"/>
        </w:rPr>
        <w:t> Associated Press, 17 August 2026: “The deadline was Monday, and the two sides are further apart”; “There has been no sign of any compromise.” Web page, opening paragraphs.</w:t>
      </w:r>
    </w:p>
  </w:footnote>
  <w:footnote w:id="12">
    <w:p>
      <w:pPr>
        <w:pStyle w:val="FootnoteText"/>
        <w:spacing w:before="0" w:after="0"/>
      </w:pPr>
      <w:r>
        <w:rPr>
          <w:sz w:val="16"/>
          <w:szCs w:val="16"/>
          <w:rStyle w:val="FootnoteReference"/>
          <w:vertAlign w:val="superscript"/>
        </w:rPr>
        <w:footnoteRef/>
      </w:r>
      <w:r>
        <w:rPr>
          <w:sz w:val="16"/>
          <w:szCs w:val="16"/>
        </w:rPr>
        <w:t> OFAC, 7 August 2026: “OFAC has updated the Specially Designated Nationals and Blocked Persons List.” Web page, opening paragraphs.</w:t>
      </w:r>
    </w:p>
  </w:footnote>
  <w:footnote w:id="13">
    <w:p>
      <w:pPr>
        <w:pStyle w:val="FootnoteText"/>
        <w:spacing w:before="0" w:after="0"/>
      </w:pPr>
      <w:r>
        <w:rPr>
          <w:sz w:val="16"/>
          <w:szCs w:val="16"/>
          <w:rStyle w:val="FootnoteReference"/>
          <w:vertAlign w:val="superscript"/>
        </w:rPr>
        <w:footnoteRef/>
      </w:r>
      <w:r>
        <w:rPr>
          <w:sz w:val="16"/>
          <w:szCs w:val="16"/>
        </w:rPr>
        <w:t> US Treasury, 7 August 2026: “OFAC took action against multiple networks spanning several countries for enabling Iran’s ... banking system to move hundreds of millions of dollars.” Web page, opening paragraph.</w:t>
      </w:r>
    </w:p>
  </w:footnote>
  <w:footnote w:id="14">
    <w:p>
      <w:pPr>
        <w:pStyle w:val="FootnoteText"/>
        <w:spacing w:before="0" w:after="0"/>
      </w:pPr>
      <w:r>
        <w:rPr>
          <w:sz w:val="16"/>
          <w:szCs w:val="16"/>
          <w:rStyle w:val="FootnoteReference"/>
          <w:vertAlign w:val="superscript"/>
        </w:rPr>
        <w:footnoteRef/>
      </w:r>
      <w:r>
        <w:rPr>
          <w:sz w:val="16"/>
          <w:szCs w:val="16"/>
        </w:rPr>
        <w:t> Associated Press, 23 August 2026: “Iran would target other oil-shipping routes from the Persian Gulf”; “the best way to move beyond a situation of ‘neither war nor peace.’” Web page, sections on Rezaei and Pezeshkian.</w:t>
      </w:r>
    </w:p>
  </w:footnote>
  <w:footnote w:id="15">
    <w:p>
      <w:pPr>
        <w:pStyle w:val="FootnoteText"/>
        <w:spacing w:before="0" w:after="0"/>
      </w:pPr>
      <w:r>
        <w:rPr>
          <w:sz w:val="16"/>
          <w:szCs w:val="16"/>
          <w:rStyle w:val="FootnoteReference"/>
          <w:vertAlign w:val="superscript"/>
        </w:rPr>
        <w:footnoteRef/>
      </w:r>
      <w:r>
        <w:rPr>
          <w:sz w:val="16"/>
          <w:szCs w:val="16"/>
        </w:rPr>
        <w:t> IEA, Oil Market Report – August 2026: “Russia | 8.86 | 8.76 | -1.06 | 9.82.” Web page, OPEC+ crude oil production table, Russia row.</w:t>
      </w:r>
    </w:p>
  </w:footnote>
  <w:footnote w:id="16">
    <w:p>
      <w:pPr>
        <w:pStyle w:val="FootnoteText"/>
        <w:spacing w:before="0" w:after="0"/>
      </w:pPr>
      <w:r>
        <w:rPr>
          <w:sz w:val="16"/>
          <w:szCs w:val="16"/>
          <w:rStyle w:val="FootnoteReference"/>
          <w:vertAlign w:val="superscript"/>
        </w:rPr>
        <w:footnoteRef/>
      </w:r>
      <w:r>
        <w:rPr>
          <w:sz w:val="16"/>
          <w:szCs w:val="16"/>
        </w:rPr>
        <w:t> S&amp;P Global, 14 July 2026: “more than 2.5 million b/d ... was offline”; “total Russian refining downtime above 4 million b/d.” Web page, section “Drone attacks”.</w:t>
      </w:r>
    </w:p>
  </w:footnote>
  <w:footnote w:id="17">
    <w:p>
      <w:pPr>
        <w:pStyle w:val="FootnoteText"/>
        <w:spacing w:before="0" w:after="0"/>
      </w:pPr>
      <w:r>
        <w:rPr>
          <w:sz w:val="16"/>
          <w:szCs w:val="16"/>
          <w:rStyle w:val="FootnoteReference"/>
          <w:vertAlign w:val="superscript"/>
        </w:rPr>
        <w:footnoteRef/>
      </w:r>
      <w:r>
        <w:rPr>
          <w:sz w:val="16"/>
          <w:szCs w:val="16"/>
        </w:rPr>
        <w:t> EIA, 31 July 2026: “China imported just 8.1 million barrels per day ... in 2Q26, 32% less than the previous quarter.” Web page, second article paragraph.</w:t>
      </w:r>
    </w:p>
  </w:footnote>
  <w:footnote w:id="18">
    <w:p>
      <w:pPr>
        <w:pStyle w:val="FootnoteText"/>
        <w:spacing w:before="0" w:after="0"/>
      </w:pPr>
      <w:r>
        <w:rPr>
          <w:sz w:val="16"/>
          <w:szCs w:val="16"/>
          <w:rStyle w:val="FootnoteReference"/>
          <w:vertAlign w:val="superscript"/>
        </w:rPr>
        <w:footnoteRef/>
      </w:r>
      <w:r>
        <w:rPr>
          <w:sz w:val="16"/>
          <w:szCs w:val="16"/>
        </w:rPr>
        <w:t> National Bureau of Statistics of China, 18 August 2026: “In July, the processing volume of crude oil ... was 53.11 million tons, a year-on-year decrease of 15.8%.” Web page, section I.</w:t>
      </w:r>
    </w:p>
  </w:footnote>
  <w:footnote w:id="19">
    <w:p>
      <w:pPr>
        <w:pStyle w:val="FootnoteText"/>
        <w:spacing w:before="0" w:after="0"/>
      </w:pPr>
      <w:r>
        <w:rPr>
          <w:sz w:val="16"/>
          <w:szCs w:val="16"/>
          <w:rStyle w:val="FootnoteReference"/>
          <w:vertAlign w:val="superscript"/>
        </w:rPr>
        <w:footnoteRef/>
      </w:r>
      <w:r>
        <w:rPr>
          <w:sz w:val="16"/>
          <w:szCs w:val="16"/>
        </w:rPr>
        <w:t> Kpler, 13 August 2026: “12.92 mbd in August, 13.29 mbd in September and 13.54 mbd in October, compared with 12.64 mbd in July.” Web page, paragraph above “China’s crude intake demand, mbd”.</w:t>
      </w:r>
    </w:p>
  </w:footnote>
  <w:footnote w:id="20">
    <w:p>
      <w:pPr>
        <w:pStyle w:val="FootnoteText"/>
        <w:spacing w:before="0" w:after="0"/>
      </w:pPr>
      <w:r>
        <w:rPr>
          <w:sz w:val="16"/>
          <w:szCs w:val="16"/>
          <w:rStyle w:val="FootnoteReference"/>
          <w:vertAlign w:val="superscript"/>
        </w:rPr>
        <w:footnoteRef/>
      </w:r>
      <w:r>
        <w:rPr>
          <w:sz w:val="16"/>
          <w:szCs w:val="16"/>
        </w:rPr>
        <w:t> IEA, Oil Market Report – August 2026: “demand is forecast to decline by 1.6 mb/d”; “inventories plunged by 69 mb.” Web page, “Highlights”, bullets 1 and 4.</w:t>
      </w:r>
    </w:p>
  </w:footnote>
  <w:footnote w:id="21">
    <w:p>
      <w:pPr>
        <w:pStyle w:val="FootnoteText"/>
        <w:spacing w:before="0" w:after="0"/>
      </w:pPr>
      <w:r>
        <w:rPr>
          <w:sz w:val="16"/>
          <w:szCs w:val="16"/>
          <w:rStyle w:val="FootnoteReference"/>
          <w:vertAlign w:val="superscript"/>
        </w:rPr>
        <w:footnoteRef/>
      </w:r>
      <w:r>
        <w:rPr>
          <w:sz w:val="16"/>
          <w:szCs w:val="16"/>
        </w:rPr>
        <w:t> OPEC, Monthly Oil Market Report – August 2026: “Total World ... 105.74 ... 0.58”; “OECD commercial oil inventories ... 2,729 mb ... 66.5 mb below”; “58.7 days.” Web version, Tables 4-1 and 9-1.</w:t>
      </w:r>
    </w:p>
  </w:footnote>
  <w:footnote w:id="22">
    <w:p>
      <w:pPr>
        <w:pStyle w:val="FootnoteText"/>
        <w:spacing w:before="0" w:after="0"/>
      </w:pPr>
      <w:r>
        <w:rPr>
          <w:sz w:val="16"/>
          <w:szCs w:val="16"/>
          <w:rStyle w:val="FootnoteReference"/>
          <w:vertAlign w:val="superscript"/>
        </w:rPr>
        <w:footnoteRef/>
      </w:r>
      <w:r>
        <w:rPr>
          <w:sz w:val="16"/>
          <w:szCs w:val="16"/>
        </w:rPr>
        <w:t> EIA, Weekly Stocks: “Commercial Crude Oil ... 406,987 | 424,410 | 428,815”; “SPR ... 304,809 | 298,694 | 293,426.” Web table, columns 07/31/26 to 08/14/26.</w:t>
      </w:r>
    </w:p>
  </w:footnote>
  <w:footnote w:id="23">
    <w:p>
      <w:pPr>
        <w:pStyle w:val="FootnoteText"/>
        <w:spacing w:before="0" w:after="0"/>
      </w:pPr>
      <w:r>
        <w:rPr>
          <w:sz w:val="16"/>
          <w:szCs w:val="16"/>
          <w:rStyle w:val="FootnoteReference"/>
          <w:vertAlign w:val="superscript"/>
        </w:rPr>
        <w:footnoteRef/>
      </w:r>
      <w:r>
        <w:rPr>
          <w:sz w:val="16"/>
          <w:szCs w:val="16"/>
        </w:rPr>
        <w:t> IEA, 11 March 2026: “make 400 million barrels of oil from their emergency reserves available to the market.” Web page, opening paragraph.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710"/>
    <w:multiLevelType w:val="multilevel"/>
    <w:tmpl w:val="113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E29"/>
    <w:multiLevelType w:val="multilevel"/>
    <w:tmpl w:val="DB2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6AC4"/>
    <w:multiLevelType w:val="multilevel"/>
    <w:tmpl w:val="75A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1E12"/>
    <w:multiLevelType w:val="multilevel"/>
    <w:tmpl w:val="A3F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489F"/>
    <w:multiLevelType w:val="multilevel"/>
    <w:tmpl w:val="69A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00A0"/>
    <w:multiLevelType w:val="multilevel"/>
    <w:tmpl w:val="68A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B164A"/>
    <w:multiLevelType w:val="multilevel"/>
    <w:tmpl w:val="88C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3E36"/>
    <w:multiLevelType w:val="multilevel"/>
    <w:tmpl w:val="CCC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70177"/>
    <w:multiLevelType w:val="multilevel"/>
    <w:tmpl w:val="AFBA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506D0"/>
    <w:multiLevelType w:val="multilevel"/>
    <w:tmpl w:val="163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854D5"/>
    <w:multiLevelType w:val="multilevel"/>
    <w:tmpl w:val="8CD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63524"/>
    <w:multiLevelType w:val="multilevel"/>
    <w:tmpl w:val="EBB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455F"/>
    <w:multiLevelType w:val="multilevel"/>
    <w:tmpl w:val="1BC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691"/>
    <w:multiLevelType w:val="multilevel"/>
    <w:tmpl w:val="174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05F91"/>
    <w:multiLevelType w:val="multilevel"/>
    <w:tmpl w:val="112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251A8"/>
    <w:multiLevelType w:val="multilevel"/>
    <w:tmpl w:val="A1A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E76C4"/>
    <w:multiLevelType w:val="multilevel"/>
    <w:tmpl w:val="233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F0852"/>
    <w:multiLevelType w:val="multilevel"/>
    <w:tmpl w:val="D9A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26A"/>
    <w:multiLevelType w:val="multilevel"/>
    <w:tmpl w:val="85D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91D84"/>
    <w:multiLevelType w:val="multilevel"/>
    <w:tmpl w:val="32C0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91EDE"/>
    <w:multiLevelType w:val="multilevel"/>
    <w:tmpl w:val="DB8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E6EDE"/>
    <w:multiLevelType w:val="multilevel"/>
    <w:tmpl w:val="F3F4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35C87"/>
    <w:multiLevelType w:val="multilevel"/>
    <w:tmpl w:val="07B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05C3A"/>
    <w:multiLevelType w:val="multilevel"/>
    <w:tmpl w:val="CE3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817F1"/>
    <w:multiLevelType w:val="multilevel"/>
    <w:tmpl w:val="60E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27720"/>
    <w:multiLevelType w:val="multilevel"/>
    <w:tmpl w:val="ADA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F0496"/>
    <w:multiLevelType w:val="multilevel"/>
    <w:tmpl w:val="3B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96C5E"/>
    <w:multiLevelType w:val="multilevel"/>
    <w:tmpl w:val="218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C78C3"/>
    <w:multiLevelType w:val="multilevel"/>
    <w:tmpl w:val="463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55C3"/>
    <w:multiLevelType w:val="multilevel"/>
    <w:tmpl w:val="D72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65D5E"/>
    <w:multiLevelType w:val="multilevel"/>
    <w:tmpl w:val="405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120B4"/>
    <w:multiLevelType w:val="multilevel"/>
    <w:tmpl w:val="A7F8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57102"/>
    <w:multiLevelType w:val="multilevel"/>
    <w:tmpl w:val="304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C2764"/>
    <w:multiLevelType w:val="multilevel"/>
    <w:tmpl w:val="B63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F18CB"/>
    <w:multiLevelType w:val="multilevel"/>
    <w:tmpl w:val="9CF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20CF4"/>
    <w:multiLevelType w:val="multilevel"/>
    <w:tmpl w:val="24D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962510">
    <w:abstractNumId w:val="29"/>
  </w:num>
  <w:num w:numId="2" w16cid:durableId="1374190633">
    <w:abstractNumId w:val="20"/>
  </w:num>
  <w:num w:numId="3" w16cid:durableId="269247016">
    <w:abstractNumId w:val="35"/>
  </w:num>
  <w:num w:numId="4" w16cid:durableId="160314338">
    <w:abstractNumId w:val="30"/>
  </w:num>
  <w:num w:numId="5" w16cid:durableId="900561369">
    <w:abstractNumId w:val="8"/>
  </w:num>
  <w:num w:numId="6" w16cid:durableId="514150587">
    <w:abstractNumId w:val="27"/>
  </w:num>
  <w:num w:numId="7" w16cid:durableId="1472751829">
    <w:abstractNumId w:val="25"/>
  </w:num>
  <w:num w:numId="8" w16cid:durableId="1114323190">
    <w:abstractNumId w:val="34"/>
  </w:num>
  <w:num w:numId="9" w16cid:durableId="372703583">
    <w:abstractNumId w:val="33"/>
  </w:num>
  <w:num w:numId="10" w16cid:durableId="234169496">
    <w:abstractNumId w:val="24"/>
  </w:num>
  <w:num w:numId="11" w16cid:durableId="111485587">
    <w:abstractNumId w:val="10"/>
  </w:num>
  <w:num w:numId="12" w16cid:durableId="711539278">
    <w:abstractNumId w:val="9"/>
  </w:num>
  <w:num w:numId="13" w16cid:durableId="1950971883">
    <w:abstractNumId w:val="0"/>
  </w:num>
  <w:num w:numId="14" w16cid:durableId="222956531">
    <w:abstractNumId w:val="23"/>
  </w:num>
  <w:num w:numId="15" w16cid:durableId="691611378">
    <w:abstractNumId w:val="7"/>
  </w:num>
  <w:num w:numId="16" w16cid:durableId="413280692">
    <w:abstractNumId w:val="16"/>
  </w:num>
  <w:num w:numId="17" w16cid:durableId="896163528">
    <w:abstractNumId w:val="2"/>
  </w:num>
  <w:num w:numId="18" w16cid:durableId="1845124222">
    <w:abstractNumId w:val="26"/>
  </w:num>
  <w:num w:numId="19" w16cid:durableId="1864977217">
    <w:abstractNumId w:val="3"/>
  </w:num>
  <w:num w:numId="20" w16cid:durableId="860168646">
    <w:abstractNumId w:val="21"/>
  </w:num>
  <w:num w:numId="21" w16cid:durableId="435364636">
    <w:abstractNumId w:val="28"/>
  </w:num>
  <w:num w:numId="22" w16cid:durableId="432282674">
    <w:abstractNumId w:val="12"/>
  </w:num>
  <w:num w:numId="23" w16cid:durableId="1187141167">
    <w:abstractNumId w:val="31"/>
  </w:num>
  <w:num w:numId="24" w16cid:durableId="91170598">
    <w:abstractNumId w:val="5"/>
  </w:num>
  <w:num w:numId="25" w16cid:durableId="190193729">
    <w:abstractNumId w:val="1"/>
  </w:num>
  <w:num w:numId="26" w16cid:durableId="129173657">
    <w:abstractNumId w:val="13"/>
  </w:num>
  <w:num w:numId="27" w16cid:durableId="149567343">
    <w:abstractNumId w:val="6"/>
  </w:num>
  <w:num w:numId="28" w16cid:durableId="647320051">
    <w:abstractNumId w:val="22"/>
  </w:num>
  <w:num w:numId="29" w16cid:durableId="39863688">
    <w:abstractNumId w:val="11"/>
  </w:num>
  <w:num w:numId="30" w16cid:durableId="111438359">
    <w:abstractNumId w:val="15"/>
  </w:num>
  <w:num w:numId="31" w16cid:durableId="629432776">
    <w:abstractNumId w:val="18"/>
  </w:num>
  <w:num w:numId="32" w16cid:durableId="468087206">
    <w:abstractNumId w:val="4"/>
  </w:num>
  <w:num w:numId="33" w16cid:durableId="2096515731">
    <w:abstractNumId w:val="17"/>
  </w:num>
  <w:num w:numId="34" w16cid:durableId="532770238">
    <w:abstractNumId w:val="14"/>
  </w:num>
  <w:num w:numId="35" w16cid:durableId="1247421230">
    <w:abstractNumId w:val="32"/>
  </w:num>
  <w:num w:numId="36" w16cid:durableId="5708933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8A"/>
    <w:rsid w:val="00000380"/>
    <w:rsid w:val="000C7C2B"/>
    <w:rsid w:val="001729F7"/>
    <w:rsid w:val="002C1C76"/>
    <w:rsid w:val="0034697C"/>
    <w:rsid w:val="003E790E"/>
    <w:rsid w:val="00503BD6"/>
    <w:rsid w:val="005F3CB6"/>
    <w:rsid w:val="00622BEE"/>
    <w:rsid w:val="00651060"/>
    <w:rsid w:val="006674A7"/>
    <w:rsid w:val="00785CAE"/>
    <w:rsid w:val="00984453"/>
    <w:rsid w:val="00A2459F"/>
    <w:rsid w:val="00A46E96"/>
    <w:rsid w:val="00B609B6"/>
    <w:rsid w:val="00CB5757"/>
    <w:rsid w:val="00CE5477"/>
    <w:rsid w:val="00D6421D"/>
    <w:rsid w:val="00ED238A"/>
    <w:rsid w:val="00EF00E4"/>
    <w:rsid w:val="00F40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1601"/>
  <w15:chartTrackingRefBased/>
  <w15:docId w15:val="{B049BDC6-62F9-449D-A1CE-09D3888D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8A"/>
    <w:rPr>
      <w:rFonts w:eastAsiaTheme="majorEastAsia" w:cstheme="majorBidi"/>
      <w:color w:val="272727" w:themeColor="text1" w:themeTint="D8"/>
    </w:rPr>
  </w:style>
  <w:style w:type="paragraph" w:styleId="Title">
    <w:name w:val="Title"/>
    <w:basedOn w:val="Normal"/>
    <w:next w:val="Normal"/>
    <w:link w:val="TitleChar"/>
    <w:uiPriority w:val="10"/>
    <w:qFormat/>
    <w:rsid w:val="00ED2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8A"/>
    <w:pPr>
      <w:spacing w:before="160"/>
      <w:jc w:val="center"/>
    </w:pPr>
    <w:rPr>
      <w:i/>
      <w:iCs/>
      <w:color w:val="404040" w:themeColor="text1" w:themeTint="BF"/>
    </w:rPr>
  </w:style>
  <w:style w:type="character" w:customStyle="1" w:styleId="QuoteChar">
    <w:name w:val="Quote Char"/>
    <w:basedOn w:val="DefaultParagraphFont"/>
    <w:link w:val="Quote"/>
    <w:uiPriority w:val="29"/>
    <w:rsid w:val="00ED238A"/>
    <w:rPr>
      <w:i/>
      <w:iCs/>
      <w:color w:val="404040" w:themeColor="text1" w:themeTint="BF"/>
    </w:rPr>
  </w:style>
  <w:style w:type="paragraph" w:styleId="ListParagraph">
    <w:name w:val="List Paragraph"/>
    <w:basedOn w:val="Normal"/>
    <w:uiPriority w:val="34"/>
    <w:qFormat/>
    <w:rsid w:val="00ED238A"/>
    <w:pPr>
      <w:ind w:left="720"/>
      <w:contextualSpacing/>
    </w:pPr>
  </w:style>
  <w:style w:type="character" w:styleId="IntenseEmphasis">
    <w:name w:val="Intense Emphasis"/>
    <w:basedOn w:val="DefaultParagraphFont"/>
    <w:uiPriority w:val="21"/>
    <w:qFormat/>
    <w:rsid w:val="00ED238A"/>
    <w:rPr>
      <w:i/>
      <w:iCs/>
      <w:color w:val="0F4761" w:themeColor="accent1" w:themeShade="BF"/>
    </w:rPr>
  </w:style>
  <w:style w:type="paragraph" w:styleId="IntenseQuote">
    <w:name w:val="Intense Quote"/>
    <w:basedOn w:val="Normal"/>
    <w:next w:val="Normal"/>
    <w:link w:val="IntenseQuoteChar"/>
    <w:uiPriority w:val="30"/>
    <w:qFormat/>
    <w:rsid w:val="00ED2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38A"/>
    <w:rPr>
      <w:i/>
      <w:iCs/>
      <w:color w:val="0F4761" w:themeColor="accent1" w:themeShade="BF"/>
    </w:rPr>
  </w:style>
  <w:style w:type="character" w:styleId="IntenseReference">
    <w:name w:val="Intense Reference"/>
    <w:basedOn w:val="DefaultParagraphFont"/>
    <w:uiPriority w:val="32"/>
    <w:qFormat/>
    <w:rsid w:val="00ED238A"/>
    <w:rPr>
      <w:b/>
      <w:bCs/>
      <w:smallCaps/>
      <w:color w:val="0F4761" w:themeColor="accent1" w:themeShade="BF"/>
      <w:spacing w:val="5"/>
    </w:rPr>
  </w:style>
  <w:style w:type="character" w:styleId="Hyperlink">
    <w:name w:val="Hyperlink"/>
    <w:basedOn w:val="DefaultParagraphFont"/>
    <w:uiPriority w:val="99"/>
    <w:unhideWhenUsed/>
    <w:rsid w:val="00ED238A"/>
    <w:rPr>
      <w:color w:val="467886" w:themeColor="hyperlink"/>
      <w:u w:val="single"/>
    </w:rPr>
  </w:style>
  <w:style w:type="character" w:styleId="UnresolvedMention">
    <w:name w:val="Unresolved Mention"/>
    <w:basedOn w:val="DefaultParagraphFont"/>
    <w:uiPriority w:val="99"/>
    <w:semiHidden/>
    <w:unhideWhenUsed/>
    <w:rsid w:val="00ED238A"/>
    <w:rPr>
      <w:color w:val="605E5C"/>
      <w:shd w:val="clear" w:color="auto" w:fill="E1DFDD"/>
    </w:rPr>
  </w:style>
  <w:style w:type="character" w:styleId="FollowedHyperlink">
    <w:name w:val="FollowedHyperlink"/>
    <w:basedOn w:val="DefaultParagraphFont"/>
    <w:uiPriority w:val="99"/>
    <w:semiHidden/>
    <w:unhideWhenUsed/>
    <w:rsid w:val="00ED23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outlooks/steo/report/energysecurity/article.php" TargetMode="External"/><Relationship Id="rId13" Type="http://schemas.openxmlformats.org/officeDocument/2006/relationships/hyperlink" Target="https://www.lloydslistintelligence.com/resources/blog/red-sea-brief-20-august-2026" TargetMode="External"/><Relationship Id="rId18" Type="http://schemas.openxmlformats.org/officeDocument/2006/relationships/hyperlink" Target="https://home.treasury.gov/news/press-releases/sb0596" TargetMode="External"/><Relationship Id="rId26" Type="http://schemas.openxmlformats.org/officeDocument/2006/relationships/hyperlink" Target="https://www.opec.org/monthly-oil-market-report.html" TargetMode="External"/><Relationship Id="rId3" Type="http://schemas.openxmlformats.org/officeDocument/2006/relationships/settings" Target="settings.xml"/><Relationship Id="rId21" Type="http://schemas.openxmlformats.org/officeDocument/2006/relationships/hyperlink" Target="https://www.spglobal.com/energy/en/news-research/latest-news/crude-oil/071426-global-diesel-market-tightens-as-russian-export-ban-ukraine-strikes-bite" TargetMode="External"/><Relationship Id="rId7" Type="http://schemas.openxmlformats.org/officeDocument/2006/relationships/hyperlink" Target="https://iea.blob.core.windows.net/assets/c8248eba-8689-46d9-ae4b-b858b59c0f1c/StraitofHormuz2026-Factsheet.pdf" TargetMode="External"/><Relationship Id="rId12" Type="http://schemas.openxmlformats.org/officeDocument/2006/relationships/hyperlink" Target="https://www.eia.gov/outlooks/steo/report/energysecurity/article.php" TargetMode="External"/><Relationship Id="rId17" Type="http://schemas.openxmlformats.org/officeDocument/2006/relationships/hyperlink" Target="https://ofac.treasury.gov/recent-actions" TargetMode="External"/><Relationship Id="rId25" Type="http://schemas.openxmlformats.org/officeDocument/2006/relationships/hyperlink" Target="https://www.iea.org/reports/oil-market-report-august-2026" TargetMode="External"/><Relationship Id="rId2" Type="http://schemas.openxmlformats.org/officeDocument/2006/relationships/styles" Target="styles.xml"/><Relationship Id="rId16" Type="http://schemas.openxmlformats.org/officeDocument/2006/relationships/hyperlink" Target="https://apnews.com/article/iran-us-war-diplomacy-deal-deadline-nuclear-258e9c556fc861c05ccf6ed2b38515d6" TargetMode="External"/><Relationship Id="rId20" Type="http://schemas.openxmlformats.org/officeDocument/2006/relationships/hyperlink" Target="https://www.iea.org/reports/oil-market-report-august-202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ea.org/reports/oil-market-report-august-2026" TargetMode="External"/><Relationship Id="rId11" Type="http://schemas.openxmlformats.org/officeDocument/2006/relationships/hyperlink" Target="https://www.lloydslistintelligence.com/resources/blog/strait-of-hormuz-brief-19-august-2026" TargetMode="External"/><Relationship Id="rId24" Type="http://schemas.openxmlformats.org/officeDocument/2006/relationships/hyperlink" Target="https://www.kpler.com/blog/renewed-supply-risks-may-accelerate-chinas-return-to-the-crude-market" TargetMode="External"/><Relationship Id="rId5" Type="http://schemas.openxmlformats.org/officeDocument/2006/relationships/hyperlink" Target="https://finance.yahoo.com/quote/BZ%3DF/history/" TargetMode="External"/><Relationship Id="rId15" Type="http://schemas.openxmlformats.org/officeDocument/2006/relationships/hyperlink" Target="https://oilprice.com/Latest-Energy-News/World-News/Saudi-Oil-Exports-from-Mediterranean-Soar-with-Shuttles-North-to-Avoid-Houthis.amp.html" TargetMode="External"/><Relationship Id="rId23" Type="http://schemas.openxmlformats.org/officeDocument/2006/relationships/hyperlink" Target="https://www.stats.gov.cn/english/PressRelease/202608/t20260819_1965079.html" TargetMode="External"/><Relationship Id="rId28" Type="http://schemas.openxmlformats.org/officeDocument/2006/relationships/hyperlink" Target="https://www.iea.org/news/iea-member-countries-to-carry-out-largest-ever-oil-stock-release-amid-market-disruptions-from-middle-east-conflict" TargetMode="External"/><Relationship Id="rId10" Type="http://schemas.openxmlformats.org/officeDocument/2006/relationships/hyperlink" Target="https://www.businesstimes.com.sg/international/fewer-20-ships-transit-key-strait-hormuz-over-weekend-data" TargetMode="External"/><Relationship Id="rId19" Type="http://schemas.openxmlformats.org/officeDocument/2006/relationships/hyperlink" Target="https://apnews.com/article/middle-east-iran-israel-west-bank-august-23-2026-a3fff9eba47a5510060e8014b82d794f" TargetMode="External"/><Relationship Id="rId4" Type="http://schemas.openxmlformats.org/officeDocument/2006/relationships/webSettings" Target="webSettings.xml"/><Relationship Id="rId9" Type="http://schemas.openxmlformats.org/officeDocument/2006/relationships/hyperlink" Target="https://www.kpler.com/blog/60-days-of-a-broken-us-iran-mou-the-market-stopped-waiting-for-hormuz" TargetMode="External"/><Relationship Id="rId14" Type="http://schemas.openxmlformats.org/officeDocument/2006/relationships/hyperlink" Target="https://www.kpler.com/blog/update-middle-eastern-supply-recovery-postponed-to-early-2027" TargetMode="External"/><Relationship Id="rId22" Type="http://schemas.openxmlformats.org/officeDocument/2006/relationships/hyperlink" Target="https://www.eia.gov/todayinenergy/detail.php?id=67905" TargetMode="External"/><Relationship Id="rId27" Type="http://schemas.openxmlformats.org/officeDocument/2006/relationships/hyperlink" Target="https://www.eia.gov/dnav/pet/pet_stoc_wstk_dcu_nus_w.htm" TargetMode="External"/><Relationship Id="rId30" Type="http://schemas.openxmlformats.org/officeDocument/2006/relationships/theme" Target="theme/theme1.xml"/><Relationship Id="rId3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17</cp:revision>
  <dcterms:created xsi:type="dcterms:W3CDTF">2026-08-24T07:24:00Z</dcterms:created>
  <dcterms:modified xsi:type="dcterms:W3CDTF">2026-08-24T12:24:00Z</dcterms:modified>
</cp:coreProperties>
</file>