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B14C38" w14:textId="77777777" w:rsidR="007C0295" w:rsidRPr="002A277F" w:rsidRDefault="007C0295" w:rsidP="007C0295">
      <w:pPr>
        <w:jc w:val="both"/>
        <w:rPr>
          <w:rFonts w:ascii="Times New Roman" w:hAnsi="Times New Roman" w:cs="Times New Roman"/>
          <w:noProof/>
          <w:sz w:val="28"/>
          <w:szCs w:val="28"/>
        </w:rPr>
      </w:pPr>
      <w:r w:rsidRPr="002A277F">
        <w:rPr>
          <w:rFonts w:ascii="Times New Roman" w:hAnsi="Times New Roman" w:cs="Times New Roman"/>
          <w:noProof/>
          <w:sz w:val="28"/>
          <w:szCs w:val="28"/>
        </w:rPr>
        <w:t>Oil eases below $95 as US data expose a tightening product market</w:t>
      </w:r>
    </w:p>
    <w:p w14:paraId="50CB0BDD" w14:textId="7A7BF73B" w:rsidR="004F6F4B" w:rsidRPr="004F6F4B" w:rsidRDefault="004F6F4B" w:rsidP="004F6F4B">
      <w:pPr>
        <w:jc w:val="both"/>
        <w:rPr>
          <w:rFonts w:ascii="Times New Roman" w:hAnsi="Times New Roman" w:cs="Times New Roman"/>
        </w:rPr>
      </w:pPr>
      <w:r w:rsidRPr="004F6F4B">
        <w:rPr>
          <w:rFonts w:ascii="Times New Roman" w:hAnsi="Times New Roman" w:cs="Times New Roman"/>
        </w:rPr>
        <w:t>Brent’s November contract traded 0.8% lower at $94.90/bbl this morning, while WTI slipped 0.6% to $90.47/bbl, following an increase of more than 8% over the previous three sessions. Prices eased after President Trump suggested that the renewed US bombing campaign against Iran would not last long. However, neither Washington nor Tehran has shown any willingness to resume negotiations, while the extension of US troop deployments in the Middle East suggests the conflict could persist despite the limited scope of the latest exchanges.</w:t>
      </w:r>
      <w:proofErr w:type="spellStart"/>
      <w:proofErr w:type="spellEnd"/>
      <w:proofErr w:type="spellStart"/>
      <w:proofErr w:type="spellEnd"/>
    </w:p>
    <w:p w14:paraId="18930151" w14:textId="29E26356" w:rsidR="004F6F4B" w:rsidRPr="004F6F4B" w:rsidRDefault="004F6F4B" w:rsidP="004F6F4B">
      <w:pPr>
        <w:jc w:val="both"/>
        <w:rPr>
          <w:rFonts w:ascii="Times New Roman" w:hAnsi="Times New Roman" w:cs="Times New Roman"/>
        </w:rPr>
      </w:pPr>
      <w:r w:rsidRPr="004F6F4B">
        <w:rPr>
          <w:rFonts w:ascii="Times New Roman" w:hAnsi="Times New Roman" w:cs="Times New Roman"/>
        </w:rPr>
        <w:t>Uncertainty over Gulf exports remains exceptionally high. US officials said the military escorted 40 vessels carrying 18 million barrels through Hormuz on Tuesday and continue to estimate flows at around 8 mb/d. These claims remain difficult to reconcile with tanker-tracking data showing Saudi exports falling to approximately 3 mb/d in August, their lowest level in at least nine years. Shipments from Yanbu dropped to around 2.25 mb/d, compared with 4.3 mb/d in June, as attacks in the Red Sea and Hormuz made buyers increasingly reluctant to lift Saudi cargoes.</w:t>
      </w:r>
    </w:p>
    <w:p w14:paraId="5AA646B5" w14:textId="025EDD69" w:rsidR="004F6F4B" w:rsidRPr="004F6F4B" w:rsidRDefault="004F6F4B" w:rsidP="004F6F4B">
      <w:pPr>
        <w:jc w:val="both"/>
        <w:rPr>
          <w:rFonts w:ascii="Times New Roman" w:hAnsi="Times New Roman" w:cs="Times New Roman"/>
        </w:rPr>
      </w:pPr>
      <w:r w:rsidRPr="004F6F4B">
        <w:rPr>
          <w:rFonts w:ascii="Times New Roman" w:hAnsi="Times New Roman" w:cs="Times New Roman"/>
        </w:rPr>
        <w:t>The latest EIA report nevertheless showed that the US is helping to compensate for the loss of Middle Eastern supply. Crude inventories fell by 4.5 million barrels after four consecutive weekly builds, refinery runs reached their highest level in seven years and crude exports climbed to almost 4.5 mb/d. Strong Asian demand for US grades is likely to keep sour crude such as Mars well supported. However, refiners have little additional capacity to increase output, while East Coast distillate inventories have fallen to record lows and gasoline stocks are at their lowest seasonal level in more than a decade.</w:t>
      </w:r>
    </w:p>
    <w:p w14:paraId="32C89A7F" w14:textId="77777777" w:rsidR="008541D1" w:rsidRPr="008244B4" w:rsidRDefault="008541D1" w:rsidP="008541D1">
      <w:pPr>
        <w:jc w:val="both"/>
        <w:rPr>
          <w:rFonts w:ascii="Times New Roman" w:hAnsi="Times New Roman" w:cs="Times New Roman"/>
          <w:noProof/>
        </w:rPr>
      </w:pPr>
      <w:r w:rsidRPr="008244B4">
        <w:rPr>
          <w:rFonts w:ascii="Times New Roman" w:hAnsi="Times New Roman" w:cs="Times New Roman"/>
          <w:noProof/>
        </w:rPr>
        <w:t>The market therefore appears closer to balance, but with a much thinner inventory cushion. US exports are supporting global supply for now, although declining domestic product stocks will increasingly limit their ability to fill shortages in Europe and Asia. Additional Venezuelan production will only reach the market gradually and offers no immediate solution. Brent should remain supported around $95/bbl, with the strongest upside risks concentrated in diesel, jet fuel and gasoline, adding further pressure to inflation and global interest rates.</w:t>
      </w:r>
    </w:p>
    <w:p w14:paraId="45389613" w14:textId="309EA274" w:rsidR="00651060" w:rsidRPr="004F6F4B" w:rsidRDefault="00651060" w:rsidP="004F6F4B">
      <w:pPr>
        <w:jc w:val="both"/>
      </w:pPr>
    </w:p>
    <w:sectPr w:rsidR="00651060" w:rsidRPr="004F6F4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B338D"/>
    <w:multiLevelType w:val="multilevel"/>
    <w:tmpl w:val="CE867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896107"/>
    <w:multiLevelType w:val="multilevel"/>
    <w:tmpl w:val="43126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6F7360"/>
    <w:multiLevelType w:val="multilevel"/>
    <w:tmpl w:val="F48C23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B7546B"/>
    <w:multiLevelType w:val="multilevel"/>
    <w:tmpl w:val="AE0CB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027418"/>
    <w:multiLevelType w:val="multilevel"/>
    <w:tmpl w:val="3DD68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1F5C85"/>
    <w:multiLevelType w:val="multilevel"/>
    <w:tmpl w:val="6786D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BA5DBE"/>
    <w:multiLevelType w:val="multilevel"/>
    <w:tmpl w:val="FA4C0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2579878">
    <w:abstractNumId w:val="3"/>
  </w:num>
  <w:num w:numId="2" w16cid:durableId="76902841">
    <w:abstractNumId w:val="6"/>
  </w:num>
  <w:num w:numId="3" w16cid:durableId="1155678967">
    <w:abstractNumId w:val="2"/>
  </w:num>
  <w:num w:numId="4" w16cid:durableId="1319266274">
    <w:abstractNumId w:val="5"/>
  </w:num>
  <w:num w:numId="5" w16cid:durableId="514882468">
    <w:abstractNumId w:val="1"/>
  </w:num>
  <w:num w:numId="6" w16cid:durableId="56128431">
    <w:abstractNumId w:val="0"/>
  </w:num>
  <w:num w:numId="7" w16cid:durableId="96508824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4D65"/>
    <w:rsid w:val="001223B4"/>
    <w:rsid w:val="002A6D31"/>
    <w:rsid w:val="004F2D40"/>
    <w:rsid w:val="004F6F4B"/>
    <w:rsid w:val="00546BF7"/>
    <w:rsid w:val="00651060"/>
    <w:rsid w:val="007C0295"/>
    <w:rsid w:val="008541D1"/>
    <w:rsid w:val="00984453"/>
    <w:rsid w:val="00A2459F"/>
    <w:rsid w:val="00E14D65"/>
    <w:rsid w:val="00E84A8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4B7748"/>
  <w15:chartTrackingRefBased/>
  <w15:docId w15:val="{559CF2DA-7DCC-4EDE-A1EC-A67552E737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4D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4D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4D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4D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4D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4D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4D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4D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4D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4D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4D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4D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4D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4D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4D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4D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4D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4D65"/>
    <w:rPr>
      <w:rFonts w:eastAsiaTheme="majorEastAsia" w:cstheme="majorBidi"/>
      <w:color w:val="272727" w:themeColor="text1" w:themeTint="D8"/>
    </w:rPr>
  </w:style>
  <w:style w:type="paragraph" w:styleId="Title">
    <w:name w:val="Title"/>
    <w:basedOn w:val="Normal"/>
    <w:next w:val="Normal"/>
    <w:link w:val="TitleChar"/>
    <w:uiPriority w:val="10"/>
    <w:qFormat/>
    <w:rsid w:val="00E14D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4D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4D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4D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4D65"/>
    <w:pPr>
      <w:spacing w:before="160"/>
      <w:jc w:val="center"/>
    </w:pPr>
    <w:rPr>
      <w:i/>
      <w:iCs/>
      <w:color w:val="404040" w:themeColor="text1" w:themeTint="BF"/>
    </w:rPr>
  </w:style>
  <w:style w:type="character" w:customStyle="1" w:styleId="QuoteChar">
    <w:name w:val="Quote Char"/>
    <w:basedOn w:val="DefaultParagraphFont"/>
    <w:link w:val="Quote"/>
    <w:uiPriority w:val="29"/>
    <w:rsid w:val="00E14D65"/>
    <w:rPr>
      <w:i/>
      <w:iCs/>
      <w:color w:val="404040" w:themeColor="text1" w:themeTint="BF"/>
    </w:rPr>
  </w:style>
  <w:style w:type="paragraph" w:styleId="ListParagraph">
    <w:name w:val="List Paragraph"/>
    <w:basedOn w:val="Normal"/>
    <w:uiPriority w:val="34"/>
    <w:qFormat/>
    <w:rsid w:val="00E14D65"/>
    <w:pPr>
      <w:ind w:left="720"/>
      <w:contextualSpacing/>
    </w:pPr>
  </w:style>
  <w:style w:type="character" w:styleId="IntenseEmphasis">
    <w:name w:val="Intense Emphasis"/>
    <w:basedOn w:val="DefaultParagraphFont"/>
    <w:uiPriority w:val="21"/>
    <w:qFormat/>
    <w:rsid w:val="00E14D65"/>
    <w:rPr>
      <w:i/>
      <w:iCs/>
      <w:color w:val="0F4761" w:themeColor="accent1" w:themeShade="BF"/>
    </w:rPr>
  </w:style>
  <w:style w:type="paragraph" w:styleId="IntenseQuote">
    <w:name w:val="Intense Quote"/>
    <w:basedOn w:val="Normal"/>
    <w:next w:val="Normal"/>
    <w:link w:val="IntenseQuoteChar"/>
    <w:uiPriority w:val="30"/>
    <w:qFormat/>
    <w:rsid w:val="00E14D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4D65"/>
    <w:rPr>
      <w:i/>
      <w:iCs/>
      <w:color w:val="0F4761" w:themeColor="accent1" w:themeShade="BF"/>
    </w:rPr>
  </w:style>
  <w:style w:type="character" w:styleId="IntenseReference">
    <w:name w:val="Intense Reference"/>
    <w:basedOn w:val="DefaultParagraphFont"/>
    <w:uiPriority w:val="32"/>
    <w:qFormat/>
    <w:rsid w:val="00E14D65"/>
    <w:rPr>
      <w:b/>
      <w:bCs/>
      <w:smallCaps/>
      <w:color w:val="0F4761" w:themeColor="accent1" w:themeShade="BF"/>
      <w:spacing w:val="5"/>
    </w:rPr>
  </w:style>
  <w:style w:type="character" w:styleId="Hyperlink">
    <w:name w:val="Hyperlink"/>
    <w:basedOn w:val="DefaultParagraphFont"/>
    <w:uiPriority w:val="99"/>
    <w:unhideWhenUsed/>
    <w:rsid w:val="004F6F4B"/>
    <w:rPr>
      <w:color w:val="467886" w:themeColor="hyperlink"/>
      <w:u w:val="single"/>
    </w:rPr>
  </w:style>
  <w:style w:type="character" w:styleId="UnresolvedMention">
    <w:name w:val="Unresolved Mention"/>
    <w:basedOn w:val="DefaultParagraphFont"/>
    <w:uiPriority w:val="99"/>
    <w:semiHidden/>
    <w:unhideWhenUsed/>
    <w:rsid w:val="004F6F4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0a9b9e15-83d2-4075-9282-a04e05c6580a}" enabled="1" method="Standard" siteId="{24139d14-c62c-4c47-8bdd-ce71ea1d50cf}"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1</Pages>
  <Words>429</Words>
  <Characters>2446</Characters>
  <Application>Microsoft Office Word</Application>
  <DocSecurity>0</DocSecurity>
  <Lines>20</Lines>
  <Paragraphs>5</Paragraphs>
  <ScaleCrop>false</ScaleCrop>
  <Company/>
  <LinksUpToDate>false</LinksUpToDate>
  <CharactersWithSpaces>2870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KESRAOUI Yoan (ENGIE Global Markets SAS)</dc:creator>
  <cp:keywords/>
  <dc:description/>
  <cp:lastModifiedBy>KESRAOUI Yoan (ENGIE Global Markets SAS)</cp:lastModifiedBy>
  <cp:revision>7</cp:revision>
  <dcterms:created xsi:type="dcterms:W3CDTF">2026-08-26T06:33:00Z</dcterms:created>
  <dcterms:modified xsi:type="dcterms:W3CDTF">2026-08-26T07:03:00Z</dcterms:modified>
</cp:coreProperties>
</file>