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Tanker strikes lift Brent toward $97 as Hormuz risks widen</w:t>
      </w:r>
    </w:p>
    <w:p w14:paraId="50CB0BDD" w14:textId="7A7BF73B"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rose 0.8% to $97.02/bbl on Monday, while WTI gained 0.8% to $92.24/bbl, extending last week's surge of more than 7%. The move followed the largest exchange of tanker attacks in the six-month US-Iran conflict. The US struck three Iranian tankers, sinking one, after the IRGC targeted two US Navy warships with ballistic missiles, while Iran claimed attacks on three US-linked vessels. Tehran also plans to declare a new restricted zone outside Hormuz, raising the risk that disruption spreads beyond the strait.</w:t>
      </w:r>
      <w:proofErr w:type="spellStart"/>
      <w:proofErr w:type="spellEnd"/>
      <w:proofErr w:type="spellStart"/>
      <w:proofErr w:type="spellEnd"/>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Physical traffic remains difficult to assess. US Energy Secretary Chris Wright said more than 9 mb/d is moving through Hormuz and that total regional flows have recovered to at least two-thirds of pre-conflict levels once pipelines and alternative routes are included. Kpler, however, observed only one commodity vessel crossing on Saturday, as many ships travel without identification signals and sometimes under US Navy escort. The gap between official and observed flows shows that exports still depend heavily on military protection and complex ship-to-ship transfers.</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The tightest part of the market remains refined products. US retail diesel reached a record $5.90/gal on Saturday, while national distillate stocks are at their lowest ever for this time of year and East Coast inventories are at an all-time low. Russia's diesel export ban will remain in place through September, and a fresh Ukrainian drone strike hit the 340,000 b/d Ryazan refinery. The US administration continues to favor higher production over export restrictions, but domestic refiners are already operating near maximum capacity.</w:t>
      </w:r>
    </w:p>
    <w:p w14:paraId="32C89A7F" w14:textId="77777777" w:rsidR="008541D1" w:rsidRPr="008244B4" w:rsidRDefault="008541D1" w:rsidP="008541D1">
      <w:pPr>
        <w:jc w:val="both"/>
        <w:rPr>
          <w:rFonts w:ascii="Times New Roman" w:hAnsi="Times New Roman" w:cs="Times New Roman"/>
          <w:noProof/>
        </w:rPr>
      </w:pPr>
      <w:r w:rsidRPr="008244B4">
        <w:rPr>
          <w:rFonts w:ascii="Times New Roman" w:hAnsi="Times New Roman" w:cs="Times New Roman"/>
          <w:noProof/>
        </w:rPr>
        <w:t>OPEC+ kept October production quotas unchanged, although constrained Gulf exports mean that quota decisions are having little immediate effect on physical supply. Hedge funds have raised bullish Brent positions to their highest since May, while Goldman Sachs sees Brent reaching $120/bbl if shipping attacks broaden, compared with $80/bbl if regional exports normalize. The market has priced in substantial risk but not a full disruption. With crude near $100/bbl and product inventories critically low, the near-term balance remains fragile and the price risk is still skewed upward.</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984453"/>
    <w:rsid w:val="00A2459F"/>
    <w:rsid w:val="00E14D65"/>
    <w:rsid w:val="00E84A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7</cp:revision>
  <dcterms:created xsi:type="dcterms:W3CDTF">2026-08-26T06:33:00Z</dcterms:created>
  <dcterms:modified xsi:type="dcterms:W3CDTF">2026-08-26T07:03:00Z</dcterms:modified>
</cp:coreProperties>
</file>