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14C38" w14:textId="77777777" w:rsidR="007C0295" w:rsidRPr="002A277F" w:rsidRDefault="007C0295" w:rsidP="007C0295">
      <w:pPr>
        <w:jc w:val="both"/>
        <w:rPr>
          <w:rFonts w:ascii="Times New Roman" w:hAnsi="Times New Roman" w:cs="Times New Roman"/>
          <w:noProof/>
          <w:sz w:val="28"/>
          <w:szCs w:val="28"/>
        </w:rPr>
      </w:pPr>
      <w:r w:rsidRPr="002A277F">
        <w:rPr>
          <w:rFonts w:ascii="Times New Roman" w:hAnsi="Times New Roman" w:cs="Times New Roman"/>
          <w:noProof/>
          <w:sz w:val="28"/>
          <w:szCs w:val="28"/>
        </w:rPr>
        <w:t>Brent nears $100 as Hormuz risks persist and Chinese buying rebounds</w:t>
      </w:r>
    </w:p>
    <w:p w14:paraId="50CB0BDD" w14:textId="7A7BF73B" w:rsidR="004F6F4B" w:rsidRPr="004F6F4B" w:rsidRDefault="004F6F4B" w:rsidP="004F6F4B">
      <w:pPr>
        <w:jc w:val="both"/>
        <w:rPr>
          <w:rFonts w:ascii="Times New Roman" w:hAnsi="Times New Roman" w:cs="Times New Roman"/>
        </w:rPr>
      </w:pPr>
      <w:r w:rsidRPr="004F6F4B">
        <w:rPr>
          <w:rFonts w:ascii="Times New Roman" w:hAnsi="Times New Roman" w:cs="Times New Roman"/>
        </w:rPr>
        <w:t>Brent's November contract rose 0.7% to $97.65/bbl on Tuesday, while WTI advanced 1.7% from Friday's close to $93.03/bbl. The global benchmark is now less than $3 below $100 after last week's renewed fighting between the US and Iran. Chinese refiners have also increased purchases from Africa, Canada and Latin America, pushing up the prices of alternative grades as Persian Gulf supplies remain constrained. Goldman Sachs modestly raised its forecasts on the assumption that Middle East shipping disruptions will continue into 2027.</w:t>
      </w:r>
      <w:proofErr w:type="spellStart"/>
      <w:proofErr w:type="spellEnd"/>
      <w:proofErr w:type="spellStart"/>
      <w:proofErr w:type="spellEnd"/>
    </w:p>
    <w:p w14:paraId="18930151" w14:textId="29E26356" w:rsidR="004F6F4B" w:rsidRPr="004F6F4B" w:rsidRDefault="004F6F4B" w:rsidP="004F6F4B">
      <w:pPr>
        <w:jc w:val="both"/>
        <w:rPr>
          <w:rFonts w:ascii="Times New Roman" w:hAnsi="Times New Roman" w:cs="Times New Roman"/>
        </w:rPr>
      </w:pPr>
      <w:r w:rsidRPr="004F6F4B">
        <w:rPr>
          <w:rFonts w:ascii="Times New Roman" w:hAnsi="Times New Roman" w:cs="Times New Roman"/>
        </w:rPr>
        <w:t>Iran said an agreement with Oman on a temporary safe route through Hormuz is close and will be documented with the International Maritime Organization. The news briefly reduced oil's gains, but the proposed arrangement would not immediately reopen the strait. Tehran still wants the US naval blockade lifted, sanctions removed and compensation for the collapse of the June agreement, while Washington is seeking free navigation and the removal of Iranian mines. It is also unclear whether Iran's Supreme Leader has approved the plan.</w:t>
      </w:r>
    </w:p>
    <w:p w14:paraId="5AA646B5" w14:textId="025EDD69" w:rsidR="004F6F4B" w:rsidRPr="004F6F4B" w:rsidRDefault="004F6F4B" w:rsidP="004F6F4B">
      <w:pPr>
        <w:jc w:val="both"/>
        <w:rPr>
          <w:rFonts w:ascii="Times New Roman" w:hAnsi="Times New Roman" w:cs="Times New Roman"/>
        </w:rPr>
      </w:pPr>
      <w:r w:rsidRPr="004F6F4B">
        <w:rPr>
          <w:rFonts w:ascii="Times New Roman" w:hAnsi="Times New Roman" w:cs="Times New Roman"/>
        </w:rPr>
        <w:t>Physical flows remain uncertain. Vitol estimates that about 10 mb/d is crossing Hormuz, including 9 mb/d of crude, while Macquarie puts total crude and product flows closer to 7 mb/d, compared with around 20 mb/d before the war. Vitol warned that even current volumes depend on ship availability, insurance and crews willing to make the crossing. Product markets remain tighter than crude: global fuel inventories are still falling, and the loss of exports from both the Middle East and Russia has left a refining system already operating with very little spare capacity.</w:t>
      </w:r>
    </w:p>
    <w:p w14:paraId="32C89A7F" w14:textId="77777777" w:rsidR="008541D1" w:rsidRPr="008244B4" w:rsidRDefault="008541D1" w:rsidP="008541D1">
      <w:pPr>
        <w:jc w:val="both"/>
        <w:rPr>
          <w:rFonts w:ascii="Times New Roman" w:hAnsi="Times New Roman" w:cs="Times New Roman"/>
          <w:noProof/>
        </w:rPr>
      </w:pPr>
      <w:r w:rsidRPr="008244B4">
        <w:rPr>
          <w:rFonts w:ascii="Times New Roman" w:hAnsi="Times New Roman" w:cs="Times New Roman"/>
          <w:noProof/>
        </w:rPr>
        <w:t>Chinese crude imports rose to 37.9 million tons in August, 6.2% above July, allowing gasoline and diesel exports to increase by 29% and provide some relief to global product markets. Imports were nevertheless 23% below August 2025, and the recent buying appears to reflect improved refining margins and restocking rather than a durable recovery in demand. Goldman now forecasts Brent at $85/bbl in December 2026 and $80/bbl in 2027, but sees near-term risks as strongly tilted upward. A workable Hormuz agreement could lower prices, while further delays or attacks would keep crude near $100 and intensify the shortage of refined products.</w:t>
      </w:r>
    </w:p>
    <w:p w14:paraId="45389613" w14:textId="309EA274" w:rsidR="00651060" w:rsidRPr="004F6F4B" w:rsidRDefault="00651060" w:rsidP="004F6F4B">
      <w:pPr>
        <w:jc w:val="both"/>
      </w:pPr>
    </w:p>
    <w:sectPr w:rsidR="00651060" w:rsidRPr="004F6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338D"/>
    <w:multiLevelType w:val="multilevel"/>
    <w:tmpl w:val="CE86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96107"/>
    <w:multiLevelType w:val="multilevel"/>
    <w:tmpl w:val="4312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F7360"/>
    <w:multiLevelType w:val="multilevel"/>
    <w:tmpl w:val="F48C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7546B"/>
    <w:multiLevelType w:val="multilevel"/>
    <w:tmpl w:val="AE0C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27418"/>
    <w:multiLevelType w:val="multilevel"/>
    <w:tmpl w:val="3DD6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F5C85"/>
    <w:multiLevelType w:val="multilevel"/>
    <w:tmpl w:val="6786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A5DBE"/>
    <w:multiLevelType w:val="multilevel"/>
    <w:tmpl w:val="FA4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579878">
    <w:abstractNumId w:val="3"/>
  </w:num>
  <w:num w:numId="2" w16cid:durableId="76902841">
    <w:abstractNumId w:val="6"/>
  </w:num>
  <w:num w:numId="3" w16cid:durableId="1155678967">
    <w:abstractNumId w:val="2"/>
  </w:num>
  <w:num w:numId="4" w16cid:durableId="1319266274">
    <w:abstractNumId w:val="5"/>
  </w:num>
  <w:num w:numId="5" w16cid:durableId="514882468">
    <w:abstractNumId w:val="1"/>
  </w:num>
  <w:num w:numId="6" w16cid:durableId="56128431">
    <w:abstractNumId w:val="0"/>
  </w:num>
  <w:num w:numId="7" w16cid:durableId="965088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65"/>
    <w:rsid w:val="001223B4"/>
    <w:rsid w:val="002A6D31"/>
    <w:rsid w:val="004F2D40"/>
    <w:rsid w:val="004F6F4B"/>
    <w:rsid w:val="00546BF7"/>
    <w:rsid w:val="00651060"/>
    <w:rsid w:val="007C0295"/>
    <w:rsid w:val="008541D1"/>
    <w:rsid w:val="00984453"/>
    <w:rsid w:val="00A2459F"/>
    <w:rsid w:val="00E14D65"/>
    <w:rsid w:val="00E84A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B7748"/>
  <w15:chartTrackingRefBased/>
  <w15:docId w15:val="{559CF2DA-7DCC-4EDE-A1EC-A67552E73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D65"/>
    <w:rPr>
      <w:rFonts w:eastAsiaTheme="majorEastAsia" w:cstheme="majorBidi"/>
      <w:color w:val="272727" w:themeColor="text1" w:themeTint="D8"/>
    </w:rPr>
  </w:style>
  <w:style w:type="paragraph" w:styleId="Title">
    <w:name w:val="Title"/>
    <w:basedOn w:val="Normal"/>
    <w:next w:val="Normal"/>
    <w:link w:val="TitleChar"/>
    <w:uiPriority w:val="10"/>
    <w:qFormat/>
    <w:rsid w:val="00E14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D65"/>
    <w:pPr>
      <w:spacing w:before="160"/>
      <w:jc w:val="center"/>
    </w:pPr>
    <w:rPr>
      <w:i/>
      <w:iCs/>
      <w:color w:val="404040" w:themeColor="text1" w:themeTint="BF"/>
    </w:rPr>
  </w:style>
  <w:style w:type="character" w:customStyle="1" w:styleId="QuoteChar">
    <w:name w:val="Quote Char"/>
    <w:basedOn w:val="DefaultParagraphFont"/>
    <w:link w:val="Quote"/>
    <w:uiPriority w:val="29"/>
    <w:rsid w:val="00E14D65"/>
    <w:rPr>
      <w:i/>
      <w:iCs/>
      <w:color w:val="404040" w:themeColor="text1" w:themeTint="BF"/>
    </w:rPr>
  </w:style>
  <w:style w:type="paragraph" w:styleId="ListParagraph">
    <w:name w:val="List Paragraph"/>
    <w:basedOn w:val="Normal"/>
    <w:uiPriority w:val="34"/>
    <w:qFormat/>
    <w:rsid w:val="00E14D65"/>
    <w:pPr>
      <w:ind w:left="720"/>
      <w:contextualSpacing/>
    </w:pPr>
  </w:style>
  <w:style w:type="character" w:styleId="IntenseEmphasis">
    <w:name w:val="Intense Emphasis"/>
    <w:basedOn w:val="DefaultParagraphFont"/>
    <w:uiPriority w:val="21"/>
    <w:qFormat/>
    <w:rsid w:val="00E14D65"/>
    <w:rPr>
      <w:i/>
      <w:iCs/>
      <w:color w:val="0F4761" w:themeColor="accent1" w:themeShade="BF"/>
    </w:rPr>
  </w:style>
  <w:style w:type="paragraph" w:styleId="IntenseQuote">
    <w:name w:val="Intense Quote"/>
    <w:basedOn w:val="Normal"/>
    <w:next w:val="Normal"/>
    <w:link w:val="IntenseQuoteChar"/>
    <w:uiPriority w:val="30"/>
    <w:qFormat/>
    <w:rsid w:val="00E14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D65"/>
    <w:rPr>
      <w:i/>
      <w:iCs/>
      <w:color w:val="0F4761" w:themeColor="accent1" w:themeShade="BF"/>
    </w:rPr>
  </w:style>
  <w:style w:type="character" w:styleId="IntenseReference">
    <w:name w:val="Intense Reference"/>
    <w:basedOn w:val="DefaultParagraphFont"/>
    <w:uiPriority w:val="32"/>
    <w:qFormat/>
    <w:rsid w:val="00E14D65"/>
    <w:rPr>
      <w:b/>
      <w:bCs/>
      <w:smallCaps/>
      <w:color w:val="0F4761" w:themeColor="accent1" w:themeShade="BF"/>
      <w:spacing w:val="5"/>
    </w:rPr>
  </w:style>
  <w:style w:type="character" w:styleId="Hyperlink">
    <w:name w:val="Hyperlink"/>
    <w:basedOn w:val="DefaultParagraphFont"/>
    <w:uiPriority w:val="99"/>
    <w:unhideWhenUsed/>
    <w:rsid w:val="004F6F4B"/>
    <w:rPr>
      <w:color w:val="467886" w:themeColor="hyperlink"/>
      <w:u w:val="single"/>
    </w:rPr>
  </w:style>
  <w:style w:type="character" w:styleId="UnresolvedMention">
    <w:name w:val="Unresolved Mention"/>
    <w:basedOn w:val="DefaultParagraphFont"/>
    <w:uiPriority w:val="99"/>
    <w:semiHidden/>
    <w:unhideWhenUsed/>
    <w:rsid w:val="004F6F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429</Words>
  <Characters>2446</Characters>
  <Application>Microsoft Office Word</Application>
  <DocSecurity>0</DocSecurity>
  <Lines>20</Lines>
  <Paragraphs>5</Paragraphs>
  <ScaleCrop>false</ScaleCrop>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7</cp:revision>
  <dcterms:created xsi:type="dcterms:W3CDTF">2026-08-26T06:33:00Z</dcterms:created>
  <dcterms:modified xsi:type="dcterms:W3CDTF">2026-08-26T07:03:00Z</dcterms:modified>
</cp:coreProperties>
</file>