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Brent nears $100 as Hormuz risks persist and Chinese buying rebounds</w:t>
      </w:r>
    </w:p>
    <w:p w14:paraId="50CB0BDD" w14:textId="54F46B19"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rose 0.7% to $9</w:t>
      </w:r>
      <w:r w:rsidR="003C3EB6">
        <w:rPr>
          <w:rFonts w:ascii="Times New Roman" w:hAnsi="Times New Roman" w:cs="Times New Roman"/>
        </w:rPr>
        <w:t>8</w:t>
      </w:r>
      <w:r w:rsidRPr="004F6F4B">
        <w:rPr>
          <w:rFonts w:ascii="Times New Roman" w:hAnsi="Times New Roman" w:cs="Times New Roman"/>
        </w:rPr>
        <w:t>.6/</w:t>
      </w:r>
      <w:proofErr w:type="spellStart"/>
      <w:r w:rsidRPr="004F6F4B">
        <w:rPr>
          <w:rFonts w:ascii="Times New Roman" w:hAnsi="Times New Roman" w:cs="Times New Roman"/>
        </w:rPr>
        <w:t>bbl</w:t>
      </w:r>
      <w:proofErr w:type="spellEnd"/>
      <w:r w:rsidRPr="004F6F4B">
        <w:rPr>
          <w:rFonts w:ascii="Times New Roman" w:hAnsi="Times New Roman" w:cs="Times New Roman"/>
        </w:rPr>
        <w:t xml:space="preserve"> </w:t>
      </w:r>
      <w:r w:rsidR="003C3EB6">
        <w:rPr>
          <w:rFonts w:ascii="Times New Roman" w:hAnsi="Times New Roman" w:cs="Times New Roman"/>
        </w:rPr>
        <w:t>this morning</w:t>
      </w:r>
      <w:r w:rsidRPr="004F6F4B">
        <w:rPr>
          <w:rFonts w:ascii="Times New Roman" w:hAnsi="Times New Roman" w:cs="Times New Roman"/>
        </w:rPr>
        <w:t>, while WTI advanced 1.7% from Friday's close to $93.03/bbl. The global benchmark is now less than $3 below $100 after last week's renewed fighting between the US and Iran. Chinese refiners have also increased purchases from Africa, Canada and Latin America, pushing up the prices of alternative grades as Persian Gulf supplies remain constrained. Goldman Sachs modestly raised its forecasts on the assumption that Middle East shipping disruptions will continue into 2027.</w:t>
      </w:r>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Iran said an agreement with Oman on a temporary safe route through Hormuz is close and will be documented with the International Maritime Organization. The news briefly reduced oil's gains, but the proposed arrangement would not immediately reopen the strait. Tehran still wants the US naval blockade lifted, sanctions removed and compensation for the collapse of the June agreement, while Washington is seeking free navigation and the removal of Iranian mines. It is also unclear whether Iran's Supreme Leader has approved the plan.</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Physical flows remain uncertain. Vitol estimates that about 10 mb/d is crossing Hormuz, including 9 mb/d of crude, while Macquarie puts total crude and product flows closer to 7 mb/d, compared with around 20 mb/d before the war. Vitol warned that even current volumes depend on ship availability, insurance and crews willing to make the crossing. Product markets remain tighter than crude: global fuel inventories are still falling, and the loss of exports from both the Middle East and Russia has left a refining system already operating with very little spare capacity.</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Chinese crude imports rose to 37.9 million tons in August, 6.2% above July, allowing gasoline and diesel exports to increase by 29% and provide some relief to global product markets. Imports were nevertheless 23% below August 2025, and the recent buying appears to reflect improved refining margins and restocking rather than a durable recovery in demand. Goldman now forecasts Brent at $85/bbl in December 2026 and $80/bbl in 2027, but sees near-term risks as strongly tilted upward. A workable Hormuz agreement could lower prices, while further delays or attacks would keep crude near $100 and intensify the shortage of refined products.</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3C3EB6"/>
    <w:rsid w:val="004F2D40"/>
    <w:rsid w:val="004F6F4B"/>
    <w:rsid w:val="005033F2"/>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8</cp:revision>
  <dcterms:created xsi:type="dcterms:W3CDTF">2026-08-26T06:33:00Z</dcterms:created>
  <dcterms:modified xsi:type="dcterms:W3CDTF">2026-09-08T07:15:00Z</dcterms:modified>
</cp:coreProperties>
</file>