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BFC43F9"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 xml:space="preserve">Brent </w:t>
      </w:r>
      <w:r w:rsidR="00D83605">
        <w:rPr>
          <w:rFonts w:ascii="Times New Roman" w:hAnsi="Times New Roman" w:cs="Times New Roman"/>
          <w:noProof/>
          <w:sz w:val="28"/>
          <w:szCs w:val="28"/>
        </w:rPr>
        <w:t>breaks</w:t>
      </w:r>
      <w:r w:rsidRPr="002A277F">
        <w:rPr>
          <w:rFonts w:ascii="Times New Roman" w:hAnsi="Times New Roman" w:cs="Times New Roman"/>
          <w:noProof/>
          <w:sz w:val="28"/>
          <w:szCs w:val="28"/>
        </w:rPr>
        <w:t xml:space="preserve"> $100 as tanker strikes widen Middle East supply risks</w:t>
      </w:r>
    </w:p>
    <w:p w14:paraId="50CB0BDD" w14:textId="023B3623"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1.1% to $</w:t>
      </w:r>
      <w:r w:rsidR="00D83605">
        <w:rPr>
          <w:rFonts w:ascii="Times New Roman" w:hAnsi="Times New Roman" w:cs="Times New Roman"/>
        </w:rPr>
        <w:t>100</w:t>
      </w:r>
      <w:r w:rsidRPr="004F6F4B">
        <w:rPr>
          <w:rFonts w:ascii="Times New Roman" w:hAnsi="Times New Roman" w:cs="Times New Roman"/>
        </w:rPr>
        <w:t>/</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on Wednesday morning, while WTI's October contract gained 1% to $93.95/bbl. The move followed US strikes that disabled five IRGC-linked Iranian tankers near Kharg Island and in the Gulf of Oman after attempted missile attacks on a US Navy ship. Tehran responded with missiles at Jordan and warnings to tanker crews near Kuwait and Bahrain. Brent is now within $1 of $100/bbl and has gained more than 60% this year.</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Supply risks have also spread to Saudi Arabia. Houthi attacks forced several southern energy facilities to halt operations, with the 400,000 b/d Jazan refinery again in focus. Bloomberg's OPEC survey showed group production falling by 900,000 b/d in August to 19.91 mb/d, driven by a 1.12 mb/d drop in Saudi output to 6.98 mb/d. Observed Saudi exports fell by one-third to 3.03 mb/d as both Hormuz and the Red Sea route came under pressure. Iran-Oman transit talks continue, but fees and US objections complicate a durable reopening.</w:t>
      </w:r>
    </w:p>
    <w:p w14:paraId="5AA646B5" w14:textId="0872ADB6" w:rsidR="004F6F4B" w:rsidRPr="004F6F4B" w:rsidRDefault="00AD76B8" w:rsidP="004F6F4B">
      <w:pPr>
        <w:jc w:val="both"/>
        <w:rPr>
          <w:rFonts w:ascii="Times New Roman" w:hAnsi="Times New Roman" w:cs="Times New Roman"/>
        </w:rPr>
      </w:pPr>
      <w:r w:rsidRPr="00AD76B8">
        <w:rPr>
          <w:rFonts w:ascii="Times New Roman" w:hAnsi="Times New Roman" w:cs="Times New Roman"/>
        </w:rPr>
        <w:t>Physical fundamentals are reinforcing the geopolitical bid.</w:t>
      </w:r>
      <w:r>
        <w:rPr>
          <w:rFonts w:ascii="Times New Roman" w:hAnsi="Times New Roman" w:cs="Times New Roman"/>
        </w:rPr>
        <w:t xml:space="preserve"> </w:t>
      </w:r>
      <w:r w:rsidR="004F6F4B" w:rsidRPr="004F6F4B">
        <w:rPr>
          <w:rFonts w:ascii="Times New Roman" w:hAnsi="Times New Roman" w:cs="Times New Roman"/>
        </w:rPr>
        <w:t>Vitol estimates about 10 mb/d, including 9 mb/d of crude, while Macquarie puts crude and product flows at roughly 7 mb/d, versus about 20 mb/d before the war. Products remain tighter than crude. Vitol says global fuel stocks are still drawing, while the loss of around 2 mb/d of exports from both the Middle East and Russia has left little flexibility. US refiners are running flat out, but domestic distillate stocks are at their lowest seasonal level in at least 25 years.</w:t>
      </w:r>
    </w:p>
    <w:p w14:paraId="32C89A7F" w14:textId="6BE13448"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 xml:space="preserve">China's crude imports rose to 37.9 million tons in August, up 6.2% from July, but remained almost one-quarter below last year's level. The rebound may prove fragile: private refiners are losing access to discounted Iranian and Venezuelan barrels, and their margins have fallen to breakeven from about $10/bbl in early July, raising the risk of run cuts. </w:t>
      </w:r>
      <w:r w:rsidR="005F20B9">
        <w:rPr>
          <w:rFonts w:ascii="Times New Roman" w:hAnsi="Times New Roman" w:cs="Times New Roman"/>
          <w:noProof/>
        </w:rPr>
        <w:t>T</w:t>
      </w:r>
      <w:r w:rsidRPr="008244B4">
        <w:rPr>
          <w:rFonts w:ascii="Times New Roman" w:hAnsi="Times New Roman" w:cs="Times New Roman"/>
          <w:noProof/>
        </w:rPr>
        <w:t xml:space="preserve">he EIA report is due </w:t>
      </w:r>
      <w:r w:rsidR="005F20B9">
        <w:rPr>
          <w:rFonts w:ascii="Times New Roman" w:hAnsi="Times New Roman" w:cs="Times New Roman"/>
          <w:noProof/>
        </w:rPr>
        <w:t>today</w:t>
      </w:r>
      <w:r w:rsidRPr="008244B4">
        <w:rPr>
          <w:rFonts w:ascii="Times New Roman" w:hAnsi="Times New Roman" w:cs="Times New Roman"/>
          <w:noProof/>
        </w:rPr>
        <w:t xml:space="preserve"> at 6 p.m. With geopolitical risks broadening and product stocks depleted, the near-term price bias remains upward, although </w:t>
      </w:r>
      <w:r w:rsidR="00D83605">
        <w:rPr>
          <w:rFonts w:ascii="Times New Roman" w:hAnsi="Times New Roman" w:cs="Times New Roman"/>
          <w:noProof/>
        </w:rPr>
        <w:t>weak</w:t>
      </w:r>
      <w:r w:rsidRPr="008244B4">
        <w:rPr>
          <w:rFonts w:ascii="Times New Roman" w:hAnsi="Times New Roman" w:cs="Times New Roman"/>
          <w:noProof/>
        </w:rPr>
        <w:t xml:space="preserve"> Chinese demand could limit gains in crude.</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0F1721"/>
    <w:rsid w:val="001223B4"/>
    <w:rsid w:val="002A6D31"/>
    <w:rsid w:val="004F2D40"/>
    <w:rsid w:val="004F6F4B"/>
    <w:rsid w:val="00546BF7"/>
    <w:rsid w:val="005F20B9"/>
    <w:rsid w:val="00651060"/>
    <w:rsid w:val="007C0295"/>
    <w:rsid w:val="008541D1"/>
    <w:rsid w:val="00984453"/>
    <w:rsid w:val="00A2459F"/>
    <w:rsid w:val="00AD76B8"/>
    <w:rsid w:val="00D83605"/>
    <w:rsid w:val="00E14D65"/>
    <w:rsid w:val="00E37597"/>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10</cp:revision>
  <dcterms:created xsi:type="dcterms:W3CDTF">2026-08-26T06:33:00Z</dcterms:created>
  <dcterms:modified xsi:type="dcterms:W3CDTF">2026-09-09T07:22:00Z</dcterms:modified>
</cp:coreProperties>
</file>