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B14C38" w14:textId="77777777" w:rsidR="007C0295" w:rsidRPr="002A277F" w:rsidRDefault="007C0295" w:rsidP="007C0295">
      <w:pPr>
        <w:jc w:val="both"/>
        <w:rPr>
          <w:rFonts w:ascii="Times New Roman" w:hAnsi="Times New Roman" w:cs="Times New Roman"/>
          <w:noProof/>
          <w:sz w:val="28"/>
          <w:szCs w:val="28"/>
        </w:rPr>
      </w:pPr>
      <w:r w:rsidRPr="002A277F">
        <w:rPr>
          <w:rFonts w:ascii="Times New Roman" w:hAnsi="Times New Roman" w:cs="Times New Roman"/>
          <w:noProof/>
          <w:sz w:val="28"/>
          <w:szCs w:val="28"/>
        </w:rPr>
        <w:t>Brent holds above $100 as prolonged conflict deepens the diesel crunch</w:t>
      </w:r>
    </w:p>
    <w:p w14:paraId="50CB0BDD" w14:textId="7A7BF73B" w:rsidR="004F6F4B" w:rsidRPr="004F6F4B" w:rsidRDefault="004F6F4B" w:rsidP="004F6F4B">
      <w:pPr>
        <w:jc w:val="both"/>
        <w:rPr>
          <w:rFonts w:ascii="Times New Roman" w:hAnsi="Times New Roman" w:cs="Times New Roman"/>
        </w:rPr>
      </w:pPr>
      <w:r w:rsidRPr="004F6F4B">
        <w:rPr>
          <w:rFonts w:ascii="Times New Roman" w:hAnsi="Times New Roman" w:cs="Times New Roman"/>
        </w:rPr>
        <w:t>Brent's November contract held at $101.04/bbl on Thursday morning after rising 3.4% on Wednesday, while WTI traded at $96.13/bbl. Brent closed above $100 for the first time since July as Iran warned that it was ready for a more intense war following the latest US attacks on its tankers. The benchmark is now almost 70% higher this year, although it remains below April's $126 peak. Renewed Chinese buying and stronger physical crude premiums have added to the geopolitical move.</w:t>
      </w:r>
    </w:p>
    <w:p w14:paraId="18930151" w14:textId="29E26356" w:rsidR="004F6F4B" w:rsidRPr="004F6F4B" w:rsidRDefault="004F6F4B" w:rsidP="004F6F4B">
      <w:pPr>
        <w:jc w:val="both"/>
        <w:rPr>
          <w:rFonts w:ascii="Times New Roman" w:hAnsi="Times New Roman" w:cs="Times New Roman"/>
        </w:rPr>
      </w:pPr>
      <w:r w:rsidRPr="004F6F4B">
        <w:rPr>
          <w:rFonts w:ascii="Times New Roman" w:hAnsi="Times New Roman" w:cs="Times New Roman"/>
        </w:rPr>
        <w:t>Prospects for a rapid de-escalation remain limited. President Trump said the war would end only after the November midterm elections and that significant relief at US gasoline pumps would not come before then. The Wall Street Journal reported that senior advisers have discussed the possibility of the conflict lasting through the remainder of Trump's term. Tehran says it will intensify its response if US attacks continue, while Washington is relying on a naval blockade and sanctions to weaken Iran's economy. No official peace talks have taken place for months.</w:t>
      </w:r>
    </w:p>
    <w:p w14:paraId="5AA646B5" w14:textId="0336F7CB" w:rsidR="004F6F4B" w:rsidRPr="004F6F4B" w:rsidRDefault="000017C8" w:rsidP="004F6F4B">
      <w:pPr>
        <w:jc w:val="both"/>
        <w:rPr>
          <w:rFonts w:ascii="Times New Roman" w:hAnsi="Times New Roman" w:cs="Times New Roman"/>
        </w:rPr>
      </w:pPr>
      <w:r w:rsidRPr="000017C8">
        <w:rPr>
          <w:rFonts w:ascii="Times New Roman" w:hAnsi="Times New Roman" w:cs="Times New Roman"/>
        </w:rPr>
        <w:t>Beyond geopolitics, physical balances continue to tighten.</w:t>
      </w:r>
      <w:r>
        <w:rPr>
          <w:rFonts w:ascii="Times New Roman" w:hAnsi="Times New Roman" w:cs="Times New Roman"/>
        </w:rPr>
        <w:t xml:space="preserve"> </w:t>
      </w:r>
      <w:r w:rsidR="004F6F4B" w:rsidRPr="004F6F4B">
        <w:rPr>
          <w:rFonts w:ascii="Times New Roman" w:hAnsi="Times New Roman" w:cs="Times New Roman"/>
        </w:rPr>
        <w:t>US Energy Secretary Chris Wright estimates that just under 11 mb/d of crude and products is moving through Hormuz, while HSBC puts flows near 30% of pre-conflict levels. Product markets are much tighter than crude. Vitol estimates that the Middle East and Russia have each lost about 2 mb/d of fuel exports, forcing further stock draws. The EIA expects US diesel inventories to fall below 100 million barrels for the first time since 2003 and forecasts diesel cracks above $84/bbl through November.</w:t>
      </w:r>
    </w:p>
    <w:p w14:paraId="32C89A7F" w14:textId="47D1F79D" w:rsidR="008541D1" w:rsidRPr="008244B4" w:rsidRDefault="008541D1" w:rsidP="008541D1">
      <w:pPr>
        <w:jc w:val="both"/>
        <w:rPr>
          <w:rFonts w:ascii="Times New Roman" w:hAnsi="Times New Roman" w:cs="Times New Roman"/>
          <w:noProof/>
        </w:rPr>
      </w:pPr>
      <w:r w:rsidRPr="008244B4">
        <w:rPr>
          <w:rFonts w:ascii="Times New Roman" w:hAnsi="Times New Roman" w:cs="Times New Roman"/>
          <w:noProof/>
        </w:rPr>
        <w:t xml:space="preserve">API </w:t>
      </w:r>
      <w:r w:rsidR="000017C8">
        <w:rPr>
          <w:rFonts w:ascii="Times New Roman" w:hAnsi="Times New Roman" w:cs="Times New Roman"/>
          <w:noProof/>
        </w:rPr>
        <w:t>estimastes</w:t>
      </w:r>
      <w:r w:rsidRPr="008244B4">
        <w:rPr>
          <w:rFonts w:ascii="Times New Roman" w:hAnsi="Times New Roman" w:cs="Times New Roman"/>
          <w:noProof/>
        </w:rPr>
        <w:t xml:space="preserve"> US commercial oil inventories falling by 327,000 barrels last week, with gasoline down 1.87 million barrels and distillates up 1.98 million. The official EIA report is due today at 6 p.m., with crude stocks expected to decline by 1.4 million barrels. Chinese buying is also tightening Atlantic Basin grades, pushing physical North Sea crude toward $110/bbl and widening Dated Brent's premium over futures. However, Chinese private refiners' margins have fallen to breakeven and run cuts remain possible. The near-term risk therefore remains skewed upward, led by products, but high prices may increasingly constrain crude demand.</w:t>
      </w:r>
    </w:p>
    <w:p w14:paraId="45389613" w14:textId="309EA274" w:rsidR="00651060" w:rsidRPr="004F6F4B" w:rsidRDefault="00651060" w:rsidP="004F6F4B">
      <w:pPr>
        <w:jc w:val="both"/>
      </w:pPr>
    </w:p>
    <w:sectPr w:rsidR="00651060" w:rsidRPr="004F6F4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B338D"/>
    <w:multiLevelType w:val="multilevel"/>
    <w:tmpl w:val="CE867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896107"/>
    <w:multiLevelType w:val="multilevel"/>
    <w:tmpl w:val="43126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6F7360"/>
    <w:multiLevelType w:val="multilevel"/>
    <w:tmpl w:val="F48C23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B7546B"/>
    <w:multiLevelType w:val="multilevel"/>
    <w:tmpl w:val="AE0CB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3027418"/>
    <w:multiLevelType w:val="multilevel"/>
    <w:tmpl w:val="3DD68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91F5C85"/>
    <w:multiLevelType w:val="multilevel"/>
    <w:tmpl w:val="6786D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CBA5DBE"/>
    <w:multiLevelType w:val="multilevel"/>
    <w:tmpl w:val="FA4C0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62579878">
    <w:abstractNumId w:val="3"/>
  </w:num>
  <w:num w:numId="2" w16cid:durableId="76902841">
    <w:abstractNumId w:val="6"/>
  </w:num>
  <w:num w:numId="3" w16cid:durableId="1155678967">
    <w:abstractNumId w:val="2"/>
  </w:num>
  <w:num w:numId="4" w16cid:durableId="1319266274">
    <w:abstractNumId w:val="5"/>
  </w:num>
  <w:num w:numId="5" w16cid:durableId="514882468">
    <w:abstractNumId w:val="1"/>
  </w:num>
  <w:num w:numId="6" w16cid:durableId="56128431">
    <w:abstractNumId w:val="0"/>
  </w:num>
  <w:num w:numId="7" w16cid:durableId="96508824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4D65"/>
    <w:rsid w:val="000017C8"/>
    <w:rsid w:val="001223B4"/>
    <w:rsid w:val="002A6D31"/>
    <w:rsid w:val="00330567"/>
    <w:rsid w:val="004F2D40"/>
    <w:rsid w:val="004F6F4B"/>
    <w:rsid w:val="00546BF7"/>
    <w:rsid w:val="005E5724"/>
    <w:rsid w:val="00651060"/>
    <w:rsid w:val="007C0295"/>
    <w:rsid w:val="008541D1"/>
    <w:rsid w:val="00984453"/>
    <w:rsid w:val="00A2459F"/>
    <w:rsid w:val="00C1412E"/>
    <w:rsid w:val="00E14D65"/>
    <w:rsid w:val="00E55BD1"/>
    <w:rsid w:val="00E84A8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4B7748"/>
  <w15:chartTrackingRefBased/>
  <w15:docId w15:val="{559CF2DA-7DCC-4EDE-A1EC-A67552E737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14D6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14D6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14D6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14D6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14D6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14D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4D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4D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4D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4D6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14D6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14D6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14D6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14D6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14D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4D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4D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4D65"/>
    <w:rPr>
      <w:rFonts w:eastAsiaTheme="majorEastAsia" w:cstheme="majorBidi"/>
      <w:color w:val="272727" w:themeColor="text1" w:themeTint="D8"/>
    </w:rPr>
  </w:style>
  <w:style w:type="paragraph" w:styleId="Title">
    <w:name w:val="Title"/>
    <w:basedOn w:val="Normal"/>
    <w:next w:val="Normal"/>
    <w:link w:val="TitleChar"/>
    <w:uiPriority w:val="10"/>
    <w:qFormat/>
    <w:rsid w:val="00E14D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4D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4D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4D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4D65"/>
    <w:pPr>
      <w:spacing w:before="160"/>
      <w:jc w:val="center"/>
    </w:pPr>
    <w:rPr>
      <w:i/>
      <w:iCs/>
      <w:color w:val="404040" w:themeColor="text1" w:themeTint="BF"/>
    </w:rPr>
  </w:style>
  <w:style w:type="character" w:customStyle="1" w:styleId="QuoteChar">
    <w:name w:val="Quote Char"/>
    <w:basedOn w:val="DefaultParagraphFont"/>
    <w:link w:val="Quote"/>
    <w:uiPriority w:val="29"/>
    <w:rsid w:val="00E14D65"/>
    <w:rPr>
      <w:i/>
      <w:iCs/>
      <w:color w:val="404040" w:themeColor="text1" w:themeTint="BF"/>
    </w:rPr>
  </w:style>
  <w:style w:type="paragraph" w:styleId="ListParagraph">
    <w:name w:val="List Paragraph"/>
    <w:basedOn w:val="Normal"/>
    <w:uiPriority w:val="34"/>
    <w:qFormat/>
    <w:rsid w:val="00E14D65"/>
    <w:pPr>
      <w:ind w:left="720"/>
      <w:contextualSpacing/>
    </w:pPr>
  </w:style>
  <w:style w:type="character" w:styleId="IntenseEmphasis">
    <w:name w:val="Intense Emphasis"/>
    <w:basedOn w:val="DefaultParagraphFont"/>
    <w:uiPriority w:val="21"/>
    <w:qFormat/>
    <w:rsid w:val="00E14D65"/>
    <w:rPr>
      <w:i/>
      <w:iCs/>
      <w:color w:val="0F4761" w:themeColor="accent1" w:themeShade="BF"/>
    </w:rPr>
  </w:style>
  <w:style w:type="paragraph" w:styleId="IntenseQuote">
    <w:name w:val="Intense Quote"/>
    <w:basedOn w:val="Normal"/>
    <w:next w:val="Normal"/>
    <w:link w:val="IntenseQuoteChar"/>
    <w:uiPriority w:val="30"/>
    <w:qFormat/>
    <w:rsid w:val="00E14D6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14D65"/>
    <w:rPr>
      <w:i/>
      <w:iCs/>
      <w:color w:val="0F4761" w:themeColor="accent1" w:themeShade="BF"/>
    </w:rPr>
  </w:style>
  <w:style w:type="character" w:styleId="IntenseReference">
    <w:name w:val="Intense Reference"/>
    <w:basedOn w:val="DefaultParagraphFont"/>
    <w:uiPriority w:val="32"/>
    <w:qFormat/>
    <w:rsid w:val="00E14D65"/>
    <w:rPr>
      <w:b/>
      <w:bCs/>
      <w:smallCaps/>
      <w:color w:val="0F4761" w:themeColor="accent1" w:themeShade="BF"/>
      <w:spacing w:val="5"/>
    </w:rPr>
  </w:style>
  <w:style w:type="character" w:styleId="Hyperlink">
    <w:name w:val="Hyperlink"/>
    <w:basedOn w:val="DefaultParagraphFont"/>
    <w:uiPriority w:val="99"/>
    <w:unhideWhenUsed/>
    <w:rsid w:val="004F6F4B"/>
    <w:rPr>
      <w:color w:val="467886" w:themeColor="hyperlink"/>
      <w:u w:val="single"/>
    </w:rPr>
  </w:style>
  <w:style w:type="character" w:styleId="UnresolvedMention">
    <w:name w:val="Unresolved Mention"/>
    <w:basedOn w:val="DefaultParagraphFont"/>
    <w:uiPriority w:val="99"/>
    <w:semiHidden/>
    <w:unhideWhenUsed/>
    <w:rsid w:val="004F6F4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0a9b9e15-83d2-4075-9282-a04e05c6580a}" enabled="1" method="Standard" siteId="{24139d14-c62c-4c47-8bdd-ce71ea1d50cf}" contentBits="0" removed="0"/>
</clbl:labelList>
</file>

<file path=docProps/app.xml><?xml version="1.0" encoding="utf-8"?>
<Properties xmlns="http://schemas.openxmlformats.org/officeDocument/2006/extended-properties" xmlns:vt="http://schemas.openxmlformats.org/officeDocument/2006/docPropsVTypes">
  <Template>Normal</Template>
  <TotalTime>0</TotalTime>
  <Pages>1</Pages>
  <Words>346</Words>
  <Characters>1975</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KESRAOUI Yoan (ENGIE Global Markets SAS)</dc:creator>
  <cp:keywords/>
  <dc:description/>
  <cp:lastModifiedBy>KESRAOUI Yoan (ENGIE Global Markets SAS)</cp:lastModifiedBy>
  <cp:revision>10</cp:revision>
  <dcterms:created xsi:type="dcterms:W3CDTF">2026-08-26T06:33:00Z</dcterms:created>
  <dcterms:modified xsi:type="dcterms:W3CDTF">2026-09-10T07:29:00Z</dcterms:modified>
</cp:coreProperties>
</file>