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extends gains as Saudi pipeline outage keeps supply risks elevated</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1.3% to $107.09/bbl on Tuesday morning, while WTI gained 1.5% to $102.92/bbl. The benchmark is again approaching Friday's intraday peak just below $110, its highest since May, as traders focus on disruptions to Middle Eastern supply. Brent's prompt spread widened to $5.14/bbl in backwardation, compared with less than $2 a month ago, underlining the premium attached to immediately available barrels.</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main concern remains Saudi Arabia's 1,200-kilometer East-West pipeline, which was halted after attacks last week. Regional officials expect the 7 mb/d conduit to remain offline for several weeks, although US Energy Secretary Chris Wright says it could restart very soon. Riyadh is trying to compensate by raising shipments through Hormuz, but the scope is uncertain: Saudi exports had recovered toward 4 mb/d in early September, including roughly 1 mb/d via Hormuz and the balance from Yanbu. Tanker scarcity is another constraint, with Gulf-to-China freight nearing $1 million a day.</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Diplomatic signals remain contradictory. Monday's planned meeting in Oman between Iran and Gulf states on a temporary Hormuz shipping lane was postponed at Saudi Arabia's request amid renewed Houthi attacks on the kingdom. Tehran says there will be no talks with Washington until its conditions are met, while President Trump again argued that Iran wants a deal. A disputed tanker incident in the southern strait added to uncertainty. For now, the market is giving more weight to damaged infrastructure and missing barrels than to de-escalation rhetoric.</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refined-product squeeze is also intensifying. President Trump said Russia and Ukraine had agreed to stop attacks on energy infrastructure, but Kyiv said no agreement had been finalized and Moscow offered no confirmation. Russian refinery damage and an export ban have helped push US retail diesel above $6/gal. China may provide some relief as Beijing plans to raise September fuel exports above 4 million tonnes, from 3.5 million in August. However, Chinese crude imports have also risen from about 8 mb/d in the second quarter to just under 9 mb/d in August, and replacement cargoes are commanding premiums above $20/bbl to Brent. This limits the buffer and keeps the near-term price balance skewed upward.</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