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14C38" w14:textId="77777777" w:rsidR="007C0295" w:rsidRPr="002A277F" w:rsidRDefault="007C0295" w:rsidP="007C0295">
      <w:pPr>
        <w:jc w:val="both"/>
        <w:rPr>
          <w:rFonts w:ascii="Times New Roman" w:hAnsi="Times New Roman" w:cs="Times New Roman"/>
          <w:noProof/>
          <w:sz w:val="28"/>
          <w:szCs w:val="28"/>
        </w:rPr>
      </w:pPr>
      <w:r w:rsidRPr="002A277F">
        <w:rPr>
          <w:rFonts w:ascii="Times New Roman" w:hAnsi="Times New Roman" w:cs="Times New Roman"/>
          <w:noProof/>
          <w:sz w:val="28"/>
          <w:szCs w:val="28"/>
        </w:rPr>
        <w:t>Oil extends decline as Saudi repairs and diplomacy ease risk premium</w:t>
      </w:r>
    </w:p>
    <w:p w14:paraId="50CB0BDD" w14:textId="7D66EAB4" w:rsidR="004F6F4B" w:rsidRPr="004F6F4B" w:rsidRDefault="004F6F4B" w:rsidP="004F6F4B">
      <w:pPr>
        <w:jc w:val="both"/>
        <w:rPr>
          <w:rFonts w:ascii="Times New Roman" w:hAnsi="Times New Roman" w:cs="Times New Roman"/>
        </w:rPr>
      </w:pPr>
      <w:r w:rsidRPr="004F6F4B">
        <w:rPr>
          <w:rFonts w:ascii="Times New Roman" w:hAnsi="Times New Roman" w:cs="Times New Roman"/>
        </w:rPr>
        <w:t xml:space="preserve">Brent's November contract fell 1% </w:t>
      </w:r>
      <w:r w:rsidR="00B90B27">
        <w:rPr>
          <w:rFonts w:ascii="Times New Roman" w:hAnsi="Times New Roman" w:cs="Times New Roman"/>
        </w:rPr>
        <w:t xml:space="preserve">under </w:t>
      </w:r>
      <w:r w:rsidRPr="004F6F4B">
        <w:rPr>
          <w:rFonts w:ascii="Times New Roman" w:hAnsi="Times New Roman" w:cs="Times New Roman"/>
        </w:rPr>
        <w:t>$10</w:t>
      </w:r>
      <w:r w:rsidR="00B90B27">
        <w:rPr>
          <w:rFonts w:ascii="Times New Roman" w:hAnsi="Times New Roman" w:cs="Times New Roman"/>
        </w:rPr>
        <w:t>3</w:t>
      </w:r>
      <w:r w:rsidRPr="004F6F4B">
        <w:rPr>
          <w:rFonts w:ascii="Times New Roman" w:hAnsi="Times New Roman" w:cs="Times New Roman"/>
        </w:rPr>
        <w:t>/</w:t>
      </w:r>
      <w:proofErr w:type="spellStart"/>
      <w:r w:rsidRPr="004F6F4B">
        <w:rPr>
          <w:rFonts w:ascii="Times New Roman" w:hAnsi="Times New Roman" w:cs="Times New Roman"/>
        </w:rPr>
        <w:t>bbl</w:t>
      </w:r>
      <w:proofErr w:type="spellEnd"/>
      <w:r w:rsidRPr="004F6F4B">
        <w:rPr>
          <w:rFonts w:ascii="Times New Roman" w:hAnsi="Times New Roman" w:cs="Times New Roman"/>
        </w:rPr>
        <w:t xml:space="preserve"> </w:t>
      </w:r>
      <w:r w:rsidR="00B90B27">
        <w:rPr>
          <w:rFonts w:ascii="Times New Roman" w:hAnsi="Times New Roman" w:cs="Times New Roman"/>
        </w:rPr>
        <w:t>this morning</w:t>
      </w:r>
      <w:r w:rsidRPr="004F6F4B">
        <w:rPr>
          <w:rFonts w:ascii="Times New Roman" w:hAnsi="Times New Roman" w:cs="Times New Roman"/>
        </w:rPr>
        <w:t>, while WTI slipped 0.8% to $101.05/bbl. Oil was lower for a third day after losing more than 3% over the previous two sessions. Saudi Arabia's plan to restore about half the capacity of its damaged East-West pipeline within days has eased immediate supply fears, although full recovery was previously estimated to take about six weeks. Brent remains more than 70% higher this year as the Middle East and Russia-Ukraine conflicts continue to constrain supply.</w:t>
      </w:r>
    </w:p>
    <w:p w14:paraId="18930151" w14:textId="29E26356" w:rsidR="004F6F4B" w:rsidRPr="004F6F4B" w:rsidRDefault="004F6F4B" w:rsidP="004F6F4B">
      <w:pPr>
        <w:jc w:val="both"/>
        <w:rPr>
          <w:rFonts w:ascii="Times New Roman" w:hAnsi="Times New Roman" w:cs="Times New Roman"/>
        </w:rPr>
      </w:pPr>
      <w:r w:rsidRPr="004F6F4B">
        <w:rPr>
          <w:rFonts w:ascii="Times New Roman" w:hAnsi="Times New Roman" w:cs="Times New Roman"/>
        </w:rPr>
        <w:t>Saudi Aramco has sold Asian refiners as much as 60 million barrels for collection just outside Hormuz in September and October, using ship-to-ship transfers. The total includes long-term allocations and spot sales. These barrels can help compensate for the pipeline outage, but traffic through the strait remains contested: US Energy Secretary Chris Wright puts the recent seven-day average at 11 mb/d, against an estimate of about 8 mb/d from Clarksons Research. Iran's Revolutionary Guard also claimed to have struck a Togo-flagged tanker in Hormuz; that report has not been independently verified.</w:t>
      </w:r>
    </w:p>
    <w:p w14:paraId="5AA646B5" w14:textId="025EDD69" w:rsidR="004F6F4B" w:rsidRPr="004F6F4B" w:rsidRDefault="004F6F4B" w:rsidP="004F6F4B">
      <w:pPr>
        <w:jc w:val="both"/>
        <w:rPr>
          <w:rFonts w:ascii="Times New Roman" w:hAnsi="Times New Roman" w:cs="Times New Roman"/>
        </w:rPr>
      </w:pPr>
      <w:r w:rsidRPr="004F6F4B">
        <w:rPr>
          <w:rFonts w:ascii="Times New Roman" w:hAnsi="Times New Roman" w:cs="Times New Roman"/>
        </w:rPr>
        <w:t>Diplomacy may shape the next move in prices. President Trump told Axios he faces a major decision on whether to intensify attacks on Iran and is expected to meet Gulf leaders in New York next week. Reuters, citing Iranian sources, reported that China asked Tehran to rein in the Houthis after a Saudi appeal. The group's advance toward Bab el-Mandeb leaves Red Sea shipping at risk. JPMorgan says the war's end is now difficult to model; its September fair-value estimate near $90/bbl remains well below the market price, reflecting the premium for further disruptions.</w:t>
      </w:r>
    </w:p>
    <w:p w14:paraId="32C89A7F" w14:textId="77777777" w:rsidR="008541D1" w:rsidRPr="008244B4" w:rsidRDefault="008541D1" w:rsidP="008541D1">
      <w:pPr>
        <w:jc w:val="both"/>
        <w:rPr>
          <w:rFonts w:ascii="Times New Roman" w:hAnsi="Times New Roman" w:cs="Times New Roman"/>
          <w:noProof/>
        </w:rPr>
      </w:pPr>
      <w:r w:rsidRPr="008244B4">
        <w:rPr>
          <w:rFonts w:ascii="Times New Roman" w:hAnsi="Times New Roman" w:cs="Times New Roman"/>
          <w:noProof/>
        </w:rPr>
        <w:t>Product markets remain strained even as crude eases. Aramco has been seeking diesel in the Mediterranean and gasoline in Europe after attacks on Saudi energy sites. Goldman Sachs shifted a trading call toward European gasoline for mid-2027, arguing that refiners' focus on diesel is tightening gasoline supply. US diesel futures have already settled at a record. A separate risk comes from US sanctions policy: India warned that a bill allowing tariffs of up to 100% on major Russian-oil buyers could disrupt energy markets. The bill awaits President Trump's signature, and any use of the new powers would be discretionary.</w:t>
      </w:r>
    </w:p>
    <w:p w14:paraId="45389613" w14:textId="309EA274" w:rsidR="00651060" w:rsidRPr="004F6F4B" w:rsidRDefault="00651060" w:rsidP="004F6F4B">
      <w:pPr>
        <w:jc w:val="both"/>
      </w:pPr>
    </w:p>
    <w:sectPr w:rsidR="00651060" w:rsidRPr="004F6F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338D"/>
    <w:multiLevelType w:val="multilevel"/>
    <w:tmpl w:val="CE86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96107"/>
    <w:multiLevelType w:val="multilevel"/>
    <w:tmpl w:val="4312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F7360"/>
    <w:multiLevelType w:val="multilevel"/>
    <w:tmpl w:val="F48C2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B7546B"/>
    <w:multiLevelType w:val="multilevel"/>
    <w:tmpl w:val="AE0C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27418"/>
    <w:multiLevelType w:val="multilevel"/>
    <w:tmpl w:val="3DD6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1F5C85"/>
    <w:multiLevelType w:val="multilevel"/>
    <w:tmpl w:val="6786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BA5DBE"/>
    <w:multiLevelType w:val="multilevel"/>
    <w:tmpl w:val="FA4C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579878">
    <w:abstractNumId w:val="3"/>
  </w:num>
  <w:num w:numId="2" w16cid:durableId="76902841">
    <w:abstractNumId w:val="6"/>
  </w:num>
  <w:num w:numId="3" w16cid:durableId="1155678967">
    <w:abstractNumId w:val="2"/>
  </w:num>
  <w:num w:numId="4" w16cid:durableId="1319266274">
    <w:abstractNumId w:val="5"/>
  </w:num>
  <w:num w:numId="5" w16cid:durableId="514882468">
    <w:abstractNumId w:val="1"/>
  </w:num>
  <w:num w:numId="6" w16cid:durableId="56128431">
    <w:abstractNumId w:val="0"/>
  </w:num>
  <w:num w:numId="7" w16cid:durableId="9650882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D65"/>
    <w:rsid w:val="001223B4"/>
    <w:rsid w:val="002A6D31"/>
    <w:rsid w:val="004F2D40"/>
    <w:rsid w:val="004F6F4B"/>
    <w:rsid w:val="00546BF7"/>
    <w:rsid w:val="00651060"/>
    <w:rsid w:val="007C0295"/>
    <w:rsid w:val="008541D1"/>
    <w:rsid w:val="00984453"/>
    <w:rsid w:val="00A2459F"/>
    <w:rsid w:val="00B90B27"/>
    <w:rsid w:val="00D35EE4"/>
    <w:rsid w:val="00E14D65"/>
    <w:rsid w:val="00E84A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B7748"/>
  <w15:chartTrackingRefBased/>
  <w15:docId w15:val="{559CF2DA-7DCC-4EDE-A1EC-A67552E73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D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4D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D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D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D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D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4D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D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D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D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D65"/>
    <w:rPr>
      <w:rFonts w:eastAsiaTheme="majorEastAsia" w:cstheme="majorBidi"/>
      <w:color w:val="272727" w:themeColor="text1" w:themeTint="D8"/>
    </w:rPr>
  </w:style>
  <w:style w:type="paragraph" w:styleId="Title">
    <w:name w:val="Title"/>
    <w:basedOn w:val="Normal"/>
    <w:next w:val="Normal"/>
    <w:link w:val="TitleChar"/>
    <w:uiPriority w:val="10"/>
    <w:qFormat/>
    <w:rsid w:val="00E14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D65"/>
    <w:pPr>
      <w:spacing w:before="160"/>
      <w:jc w:val="center"/>
    </w:pPr>
    <w:rPr>
      <w:i/>
      <w:iCs/>
      <w:color w:val="404040" w:themeColor="text1" w:themeTint="BF"/>
    </w:rPr>
  </w:style>
  <w:style w:type="character" w:customStyle="1" w:styleId="QuoteChar">
    <w:name w:val="Quote Char"/>
    <w:basedOn w:val="DefaultParagraphFont"/>
    <w:link w:val="Quote"/>
    <w:uiPriority w:val="29"/>
    <w:rsid w:val="00E14D65"/>
    <w:rPr>
      <w:i/>
      <w:iCs/>
      <w:color w:val="404040" w:themeColor="text1" w:themeTint="BF"/>
    </w:rPr>
  </w:style>
  <w:style w:type="paragraph" w:styleId="ListParagraph">
    <w:name w:val="List Paragraph"/>
    <w:basedOn w:val="Normal"/>
    <w:uiPriority w:val="34"/>
    <w:qFormat/>
    <w:rsid w:val="00E14D65"/>
    <w:pPr>
      <w:ind w:left="720"/>
      <w:contextualSpacing/>
    </w:pPr>
  </w:style>
  <w:style w:type="character" w:styleId="IntenseEmphasis">
    <w:name w:val="Intense Emphasis"/>
    <w:basedOn w:val="DefaultParagraphFont"/>
    <w:uiPriority w:val="21"/>
    <w:qFormat/>
    <w:rsid w:val="00E14D65"/>
    <w:rPr>
      <w:i/>
      <w:iCs/>
      <w:color w:val="0F4761" w:themeColor="accent1" w:themeShade="BF"/>
    </w:rPr>
  </w:style>
  <w:style w:type="paragraph" w:styleId="IntenseQuote">
    <w:name w:val="Intense Quote"/>
    <w:basedOn w:val="Normal"/>
    <w:next w:val="Normal"/>
    <w:link w:val="IntenseQuoteChar"/>
    <w:uiPriority w:val="30"/>
    <w:qFormat/>
    <w:rsid w:val="00E14D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D65"/>
    <w:rPr>
      <w:i/>
      <w:iCs/>
      <w:color w:val="0F4761" w:themeColor="accent1" w:themeShade="BF"/>
    </w:rPr>
  </w:style>
  <w:style w:type="character" w:styleId="IntenseReference">
    <w:name w:val="Intense Reference"/>
    <w:basedOn w:val="DefaultParagraphFont"/>
    <w:uiPriority w:val="32"/>
    <w:qFormat/>
    <w:rsid w:val="00E14D65"/>
    <w:rPr>
      <w:b/>
      <w:bCs/>
      <w:smallCaps/>
      <w:color w:val="0F4761" w:themeColor="accent1" w:themeShade="BF"/>
      <w:spacing w:val="5"/>
    </w:rPr>
  </w:style>
  <w:style w:type="character" w:styleId="Hyperlink">
    <w:name w:val="Hyperlink"/>
    <w:basedOn w:val="DefaultParagraphFont"/>
    <w:uiPriority w:val="99"/>
    <w:unhideWhenUsed/>
    <w:rsid w:val="004F6F4B"/>
    <w:rPr>
      <w:color w:val="467886" w:themeColor="hyperlink"/>
      <w:u w:val="single"/>
    </w:rPr>
  </w:style>
  <w:style w:type="character" w:styleId="UnresolvedMention">
    <w:name w:val="Unresolved Mention"/>
    <w:basedOn w:val="DefaultParagraphFont"/>
    <w:uiPriority w:val="99"/>
    <w:semiHidden/>
    <w:unhideWhenUsed/>
    <w:rsid w:val="004F6F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9b9e15-83d2-4075-9282-a04e05c6580a}" enabled="1" method="Standard" siteId="{24139d14-c62c-4c47-8bdd-ce71ea1d50c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356</Words>
  <Characters>2030</Characters>
  <Application>Microsoft Office Word</Application>
  <DocSecurity>0</DocSecurity>
  <Lines>16</Lines>
  <Paragraphs>4</Paragraphs>
  <ScaleCrop>false</ScaleCrop>
  <Company/>
  <LinksUpToDate>false</LinksUpToDate>
  <CharactersWithSpaces>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KESRAOUI Yoan (ENGIE Global Markets SAS)</dc:creator>
  <cp:keywords/>
  <dc:description/>
  <cp:lastModifiedBy>KESRAOUI Yoan (ENGIE Global Markets SAS)</cp:lastModifiedBy>
  <cp:revision>8</cp:revision>
  <dcterms:created xsi:type="dcterms:W3CDTF">2026-08-26T06:33:00Z</dcterms:created>
  <dcterms:modified xsi:type="dcterms:W3CDTF">2026-09-18T07:13:00Z</dcterms:modified>
</cp:coreProperties>
</file>