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Hormuz flows improve, but Saudi attacks and fuel shortages keep the market tight</w:t>
      </w:r>
    </w:p>
    <w:p w14:paraId="50CB0BDD" w14:textId="7A7BF73B" w:rsidR="004F6F4B" w:rsidRPr="004F6F4B" w:rsidRDefault="004F6F4B" w:rsidP="004F6F4B">
      <w:pPr>
        <w:jc w:val="both"/>
        <w:rPr>
          <w:rFonts w:ascii="Times New Roman" w:hAnsi="Times New Roman" w:cs="Times New Roman"/>
        </w:rPr>
      </w:pPr>
      <w:r w:rsidRPr="004F6F4B">
        <w:rPr>
          <w:rFonts w:ascii="Times New Roman" w:hAnsi="Times New Roman" w:cs="Times New Roman"/>
        </w:rPr>
        <w:t>At around 7:45 a.m. Paris time, Brent was trading at $102.05/bbl, down about 1.8%, while WTI stood at $98.50/bbl, also down about 1.8%. Prices fell as markets focused on renewed US-Iran diplomacy and a recovery in Saudi exports. Oil and LNG traffic through the Strait of Hormuz has reached its highest level in six months, according to US Central Command. Admiral Brad Cooper said Gulf allies had moved more than 1 billion barrels of crude through the strait over the last couple of months, while US Energy Secretary Chris Wright estimates current crude and product flows near 10 mb/d. The improvement offers some relief, but traffic remains well below pre-war levels and Iran still says the waterway is closed. Brent futures approached $110/bbl this week, while Dated Brent briefly exceeded $131/bbl as European refiners competed for nearby barrels.</w:t>
      </w:r>
      <w:proofErr w:type="spellStart"/>
      <w:proofErr w:type="spellEnd"/>
      <w:proofErr w:type="spellStart"/>
      <w:proofErr w:type="spellEnd"/>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Saudi Arabia has become the main near-term escalation risk. The Houthis have carried out almost daily attacks, prompting air-raid alerts in Riyadh and targeting Yanbu and other civilian sites. A separate drone strike shut the East-West pipeline, the key route bypassing Hormuz. Aramco aims to restore about half of its capacity within days and full operations in roughly six weeks. In the meantime, European term customers have been told they will receive no Saudi crude next month. Replacement barrels must either cross the contested Hormuz and Red Sea routes or make an almost five-week voyage around Africa.</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Refined products remain tighter than crude. From March to August, the Middle East lost an estimated 770,000 b/d of diesel supply versus the same period in 2025, more than twice the roughly 350,000 b/d loss from Russia. Russian disruption has intensified: exports fell by about 615,000 b/d year on year in July and August as refinery strikes and an export ban took effect, and the ban may be extended through October. US and European refiners are already running near full capacity. US retail diesel has now topped $6.50 a gallon for the first time, highlighting how little spare supply remains.</w:t>
      </w:r>
    </w:p>
    <w:p w14:paraId="32C89A7F" w14:textId="77777777"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Freight is adding another layer of tightness. Shipping crude from Houston to Asia now adds about $26/bbl, while very large crude carriers from the Persian Gulf to China are earning more than $1.2 million a day. These costs are closing long-distance arbitrage routes: US-Asia flows have already fallen, and refiners are increasingly competing for short-haul cargoes. The recovery in Hormuz traffic therefore eases the crude shortage only at the margin. Saudi infrastructure risk, reduced diesel exports and scarce tanker capacity continue to keep delivered energy prices elevated, with near-term risks still skewed to the upside.</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1223B4"/>
    <w:rsid w:val="002A6D31"/>
    <w:rsid w:val="004F2D40"/>
    <w:rsid w:val="004F6F4B"/>
    <w:rsid w:val="00546BF7"/>
    <w:rsid w:val="00651060"/>
    <w:rsid w:val="007C0295"/>
    <w:rsid w:val="008541D1"/>
    <w:rsid w:val="00984453"/>
    <w:rsid w:val="00A2459F"/>
    <w:rsid w:val="00E14D65"/>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7</cp:revision>
  <dcterms:created xsi:type="dcterms:W3CDTF">2026-08-26T06:33:00Z</dcterms:created>
  <dcterms:modified xsi:type="dcterms:W3CDTF">2026-08-26T07:03:00Z</dcterms:modified>
</cp:coreProperties>
</file>