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rebounds as shipping and supply risks persist</w:t>
      </w:r>
    </w:p>
    <w:p w14:paraId="50CB0BDD" w14:textId="7A231E2E"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1.4% to $101.74/</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w:t>
      </w:r>
      <w:r w:rsidR="00A5045A">
        <w:rPr>
          <w:rFonts w:ascii="Times New Roman" w:hAnsi="Times New Roman" w:cs="Times New Roman"/>
        </w:rPr>
        <w:t>this morning</w:t>
      </w:r>
      <w:r w:rsidRPr="004F6F4B">
        <w:rPr>
          <w:rFonts w:ascii="Times New Roman" w:hAnsi="Times New Roman" w:cs="Times New Roman"/>
        </w:rPr>
        <w:t>, while the expiring October WTI contract gained 1.1% to $96.85/bbl. Brent had touched $98.98/bbl on Monday before closing at $100.34/bbl, after four sessions of losses totalling almost 8%. The rebound reflects renewed supply concerns, although diplomacy could change the direction of prices. President Trump is due to address the UN today and may meet Iranian President Masoud Pezeshkian on the sidelines. A summit with China's President Xi Jinping is expected later this week, but Washington and Tehran remain far apart in their demands.</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physical market remains exposed. UK Maritime Trade Operations reported that a tanker was struck by an unknown projectile in Hormuz on Monday; two crew members sustained minor injuries, but the vessel continued under its own power. Saudi Arabia is meanwhile redirecting exports toward the strait after the shutdown of its East-West pipeline. Satellite images showed tankers with capacity to lift 14 million barrels at Saudi Gulf terminals over the weekend, the most since at least June, although this snapshot is not a daily flow rate. Aramco has informally told some Asian refiners that Yanbu loadings may resume soon, without providing a timetable. European term buyers still face no Saudi allocations for October.</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Supply risks have also widened beyond the Gulf. Libya's Sharara field is pumping about 127,000 b/d, down from a normal 340,000 b/d, after an armed group closed a pipeline to Zawiya. A prolonged closure could halt the field and force the Zawiya refinery to stop processing. In the Red Sea, the UK has agreed to provide defensive air-to-air refuelling for Saudi operations against the Houthis. The EU's top diplomat has urged members to send more vessels and aircraft to protect shipping near Bab el-Mandeb, where Houthi threats have intensified.</w:t>
      </w:r>
    </w:p>
    <w:p w14:paraId="32C89A7F" w14:textId="27FBFBE1"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Product markets offer little cushion. Russia is expected to extend its ban on most diesel exports beyond September as Ukrainian strikes continue to disrupt refineries, although the decision and its duration have not been confirmed. European diesel now trades at a premium of about $</w:t>
      </w:r>
      <w:r w:rsidR="00B553BD">
        <w:rPr>
          <w:rFonts w:ascii="Times New Roman" w:hAnsi="Times New Roman" w:cs="Times New Roman"/>
          <w:noProof/>
        </w:rPr>
        <w:t>91</w:t>
      </w:r>
      <w:r w:rsidRPr="008244B4">
        <w:rPr>
          <w:rFonts w:ascii="Times New Roman" w:hAnsi="Times New Roman" w:cs="Times New Roman"/>
          <w:noProof/>
        </w:rPr>
        <w:t>/bbl to crude, versus roughly $28/bbl at the end of February. Barclays estimates that the net loss of Middle Eastern oil supply has narrowed to 4.7 mb/d from 12-13 mb/d early in the war, but says inventories have drawn down in the meantime. More crude is moving, yet a fresh disruption would hit a market with less spare stock.</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0573F"/>
    <w:rsid w:val="00651060"/>
    <w:rsid w:val="007C0295"/>
    <w:rsid w:val="008541D1"/>
    <w:rsid w:val="00984453"/>
    <w:rsid w:val="00A2459F"/>
    <w:rsid w:val="00A5045A"/>
    <w:rsid w:val="00A65E5A"/>
    <w:rsid w:val="00B553BD"/>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10</cp:revision>
  <dcterms:created xsi:type="dcterms:W3CDTF">2026-08-26T06:33:00Z</dcterms:created>
  <dcterms:modified xsi:type="dcterms:W3CDTF">2026-09-22T07:22:00Z</dcterms:modified>
</cp:coreProperties>
</file>